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F863F" w14:textId="4BFF0856" w:rsidR="00A37879" w:rsidRDefault="00000000">
      <w:pPr>
        <w:spacing w:before="240"/>
        <w:jc w:val="both"/>
      </w:pPr>
      <w:r>
        <w:rPr>
          <w:rFonts w:ascii="Times New Roman" w:hAnsi="Times New Roman"/>
          <w:b/>
        </w:rPr>
        <w:t xml:space="preserve">PROJECT ID: </w:t>
      </w:r>
      <w:r w:rsidR="001B5A26">
        <w:rPr>
          <w:rFonts w:ascii="Times New Roman" w:hAnsi="Times New Roman"/>
        </w:rPr>
        <w:t>CAFS.16.69</w:t>
      </w:r>
    </w:p>
    <w:p w14:paraId="4E9DF8BA" w14:textId="38F9C8CA" w:rsidR="00A37879" w:rsidRDefault="00000000">
      <w:pPr>
        <w:spacing w:before="240"/>
        <w:jc w:val="both"/>
        <w:rPr>
          <w:b/>
          <w:bCs/>
        </w:rPr>
      </w:pPr>
      <w:r>
        <w:rPr>
          <w:rFonts w:ascii="Times New Roman" w:hAnsi="Times New Roman"/>
          <w:b/>
          <w:bCs/>
        </w:rPr>
        <w:t xml:space="preserve">YEAR: </w:t>
      </w:r>
      <w:proofErr w:type="gramStart"/>
      <w:r w:rsidR="001B5A26">
        <w:rPr>
          <w:rFonts w:ascii="Times New Roman" w:hAnsi="Times New Roman"/>
          <w:b/>
          <w:bCs/>
          <w:u w:val="single"/>
        </w:rPr>
        <w:t>8</w:t>
      </w:r>
      <w:r>
        <w:rPr>
          <w:rFonts w:ascii="Times New Roman" w:hAnsi="Times New Roman"/>
          <w:b/>
          <w:bCs/>
        </w:rPr>
        <w:t xml:space="preserve">  </w:t>
      </w:r>
      <w:r>
        <w:rPr>
          <w:rFonts w:ascii="Times New Roman" w:hAnsi="Times New Roman"/>
        </w:rPr>
        <w:t>of</w:t>
      </w:r>
      <w:proofErr w:type="gramEnd"/>
      <w:r>
        <w:rPr>
          <w:rFonts w:ascii="Times New Roman" w:hAnsi="Times New Roman"/>
        </w:rPr>
        <w:t xml:space="preserve"> </w:t>
      </w:r>
      <w:r>
        <w:rPr>
          <w:rFonts w:ascii="Times New Roman" w:hAnsi="Times New Roman"/>
          <w:b/>
          <w:bCs/>
          <w:u w:val="single"/>
        </w:rPr>
        <w:t xml:space="preserve">       </w:t>
      </w:r>
    </w:p>
    <w:p w14:paraId="1D5BC93F" w14:textId="60B6B518" w:rsidR="00A37879" w:rsidRDefault="00000000">
      <w:pPr>
        <w:spacing w:before="240"/>
        <w:jc w:val="both"/>
        <w:rPr>
          <w:rFonts w:ascii="Times New Roman" w:hAnsi="Times New Roman"/>
        </w:rPr>
      </w:pPr>
      <w:r>
        <w:rPr>
          <w:rFonts w:ascii="Times New Roman" w:hAnsi="Times New Roman"/>
          <w:b/>
        </w:rPr>
        <w:t>PROJECT TITLE:</w:t>
      </w:r>
      <w:r>
        <w:rPr>
          <w:rFonts w:ascii="Times New Roman" w:hAnsi="Times New Roman"/>
        </w:rPr>
        <w:t xml:space="preserve"> </w:t>
      </w:r>
      <w:r w:rsidR="00837A38">
        <w:rPr>
          <w:rFonts w:ascii="Times New Roman" w:hAnsi="Times New Roman"/>
          <w:szCs w:val="24"/>
        </w:rPr>
        <w:t>Stand and Tree Responses to Late-Rotation Fertilization</w:t>
      </w:r>
    </w:p>
    <w:p w14:paraId="3C0FFBA9" w14:textId="5921D924" w:rsidR="00837A38" w:rsidRDefault="00000000" w:rsidP="00837A38">
      <w:pPr>
        <w:spacing w:before="240"/>
        <w:jc w:val="both"/>
        <w:rPr>
          <w:rFonts w:ascii="Times New Roman" w:hAnsi="Times New Roman"/>
        </w:rPr>
      </w:pPr>
      <w:r>
        <w:rPr>
          <w:rFonts w:ascii="Times New Roman" w:hAnsi="Times New Roman"/>
          <w:b/>
        </w:rPr>
        <w:t>INVESTIGATOR(S):</w:t>
      </w:r>
      <w:r w:rsidR="00837A38" w:rsidRPr="00837A38">
        <w:rPr>
          <w:rFonts w:ascii="Times New Roman" w:hAnsi="Times New Roman"/>
          <w:szCs w:val="24"/>
        </w:rPr>
        <w:t xml:space="preserve"> </w:t>
      </w:r>
      <w:r w:rsidR="00837A38" w:rsidRPr="00724489">
        <w:rPr>
          <w:rFonts w:ascii="Times New Roman" w:hAnsi="Times New Roman"/>
          <w:szCs w:val="24"/>
        </w:rPr>
        <w:t xml:space="preserve">Eric </w:t>
      </w:r>
      <w:proofErr w:type="spellStart"/>
      <w:r w:rsidR="00837A38" w:rsidRPr="00724489">
        <w:rPr>
          <w:rFonts w:ascii="Times New Roman" w:hAnsi="Times New Roman"/>
          <w:szCs w:val="24"/>
        </w:rPr>
        <w:t>Turnblom</w:t>
      </w:r>
      <w:proofErr w:type="spellEnd"/>
      <w:r w:rsidR="00837A38" w:rsidRPr="00724489">
        <w:rPr>
          <w:rFonts w:ascii="Times New Roman" w:hAnsi="Times New Roman"/>
          <w:szCs w:val="24"/>
        </w:rPr>
        <w:t>, Kim Littke, Jason Cross, Mason Patterson, and Rob Harrison</w:t>
      </w:r>
      <w:r w:rsidR="00837A38">
        <w:rPr>
          <w:rFonts w:ascii="Times New Roman" w:hAnsi="Times New Roman"/>
          <w:szCs w:val="24"/>
        </w:rPr>
        <w:t xml:space="preserve"> (UW)</w:t>
      </w:r>
    </w:p>
    <w:p w14:paraId="02E2673D" w14:textId="77777777" w:rsidR="00A37879" w:rsidRDefault="00A37879">
      <w:pPr>
        <w:jc w:val="both"/>
        <w:rPr>
          <w:rFonts w:ascii="Times New Roman" w:hAnsi="Times New Roman"/>
        </w:rPr>
      </w:pPr>
    </w:p>
    <w:tbl>
      <w:tblPr>
        <w:tblW w:w="9980" w:type="dxa"/>
        <w:tblCellMar>
          <w:left w:w="63" w:type="dxa"/>
          <w:right w:w="80" w:type="dxa"/>
        </w:tblCellMar>
        <w:tblLook w:val="0000" w:firstRow="0" w:lastRow="0" w:firstColumn="0" w:lastColumn="0" w:noHBand="0" w:noVBand="0"/>
      </w:tblPr>
      <w:tblGrid>
        <w:gridCol w:w="9980"/>
      </w:tblGrid>
      <w:tr w:rsidR="00A37879" w14:paraId="371972F6"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429F348D" w14:textId="77777777" w:rsidR="00A37879" w:rsidRDefault="00000000">
            <w:pPr>
              <w:rPr>
                <w:rFonts w:ascii="Times New Roman" w:hAnsi="Times New Roman"/>
                <w:szCs w:val="24"/>
              </w:rPr>
            </w:pPr>
            <w:r>
              <w:rPr>
                <w:rFonts w:ascii="Times New Roman" w:hAnsi="Times New Roman"/>
                <w:b/>
                <w:szCs w:val="24"/>
              </w:rPr>
              <w:t>PROJECT DESCRIPTION:</w:t>
            </w:r>
            <w:r>
              <w:rPr>
                <w:rFonts w:ascii="Times New Roman" w:hAnsi="Times New Roman"/>
                <w:szCs w:val="24"/>
              </w:rPr>
              <w:t xml:space="preserve"> </w:t>
            </w:r>
          </w:p>
          <w:p w14:paraId="23F9896A" w14:textId="1816B486" w:rsidR="00A37879" w:rsidRDefault="00837A38">
            <w:pPr>
              <w:rPr>
                <w:rFonts w:ascii="Times New Roman" w:hAnsi="Times New Roman"/>
                <w:szCs w:val="24"/>
              </w:rPr>
            </w:pPr>
            <w:r>
              <w:t>The study is designed to estimate a regional nitrogen fertilization response (RRE) for Douglas-fir on late-rotation stands.  This estimate will be derived from paired-plots in randomly located late-rotation stands within four distinct regions of Washington and Oregon and two regions in British Columbia.  We will compare the use of anion and cation plant root simulator (PRS) probes and traditional available and total soil nutrient extractions to understand what is affecting fertilizer response in late-rotation Douglas-fir plantations.</w:t>
            </w:r>
          </w:p>
        </w:tc>
      </w:tr>
      <w:tr w:rsidR="00A37879" w14:paraId="16303084"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665C1DD5" w14:textId="77777777" w:rsidR="00A37879" w:rsidRDefault="00000000">
            <w:pPr>
              <w:rPr>
                <w:rFonts w:ascii="Times New Roman" w:hAnsi="Times New Roman"/>
                <w:b/>
                <w:szCs w:val="24"/>
              </w:rPr>
            </w:pPr>
            <w:r>
              <w:rPr>
                <w:rFonts w:ascii="Times New Roman" w:hAnsi="Times New Roman"/>
                <w:b/>
                <w:szCs w:val="24"/>
              </w:rPr>
              <w:t>HYPOTHESES or OBJECTIVES:</w:t>
            </w:r>
          </w:p>
          <w:p w14:paraId="76F165BE" w14:textId="77777777" w:rsidR="00A37879" w:rsidRDefault="00A37879">
            <w:pPr>
              <w:rPr>
                <w:rFonts w:ascii="Times New Roman" w:hAnsi="Times New Roman"/>
                <w:szCs w:val="24"/>
              </w:rPr>
            </w:pPr>
          </w:p>
          <w:p w14:paraId="3FE155D7" w14:textId="77777777" w:rsidR="00837A38" w:rsidRDefault="00837A38" w:rsidP="00837A38">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Determine the average, area-based volume response to late-rotation fertilization in stands being considered by landowners for </w:t>
            </w:r>
            <w:proofErr w:type="gramStart"/>
            <w:r>
              <w:rPr>
                <w:rFonts w:ascii="Times New Roman" w:hAnsi="Times New Roman" w:cs="Times New Roman"/>
                <w:sz w:val="24"/>
                <w:szCs w:val="24"/>
              </w:rPr>
              <w:t>fertilization</w:t>
            </w:r>
            <w:proofErr w:type="gramEnd"/>
          </w:p>
          <w:p w14:paraId="42A6F5CB" w14:textId="77777777" w:rsidR="00837A38" w:rsidRDefault="00837A38" w:rsidP="00837A38">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Estimate the regional economic returns to late-rotation fertilization </w:t>
            </w:r>
            <w:proofErr w:type="gramStart"/>
            <w:r>
              <w:rPr>
                <w:rFonts w:ascii="Times New Roman" w:hAnsi="Times New Roman" w:cs="Times New Roman"/>
                <w:sz w:val="24"/>
                <w:szCs w:val="24"/>
              </w:rPr>
              <w:t>investments</w:t>
            </w:r>
            <w:proofErr w:type="gramEnd"/>
          </w:p>
          <w:p w14:paraId="376A5D8A" w14:textId="77777777" w:rsidR="00837A38" w:rsidRPr="00837A38" w:rsidRDefault="00837A38" w:rsidP="00837A38">
            <w:pPr>
              <w:pStyle w:val="ListParagraph"/>
              <w:numPr>
                <w:ilvl w:val="0"/>
                <w:numId w:val="1"/>
              </w:numPr>
              <w:spacing w:line="240" w:lineRule="auto"/>
              <w:rPr>
                <w:sz w:val="24"/>
                <w:szCs w:val="24"/>
              </w:rPr>
            </w:pPr>
            <w:r>
              <w:rPr>
                <w:rFonts w:ascii="Times New Roman" w:hAnsi="Times New Roman" w:cs="Times New Roman"/>
                <w:sz w:val="24"/>
                <w:szCs w:val="24"/>
              </w:rPr>
              <w:t xml:space="preserve">Validate the site-specific responsiveness prediction of the current model developed from the </w:t>
            </w:r>
            <w:r w:rsidRPr="00D20175">
              <w:rPr>
                <w:rFonts w:ascii="Times New Roman" w:hAnsi="Times New Roman" w:cs="Times New Roman"/>
                <w:sz w:val="24"/>
                <w:szCs w:val="24"/>
              </w:rPr>
              <w:t xml:space="preserve">Stand Management Cooperative and CAFS Paired-tree Fertilization </w:t>
            </w:r>
            <w:proofErr w:type="gramStart"/>
            <w:r w:rsidRPr="00D20175">
              <w:rPr>
                <w:rFonts w:ascii="Times New Roman" w:hAnsi="Times New Roman" w:cs="Times New Roman"/>
                <w:sz w:val="24"/>
                <w:szCs w:val="24"/>
              </w:rPr>
              <w:t>study</w:t>
            </w:r>
            <w:proofErr w:type="gramEnd"/>
            <w:r w:rsidRPr="00D20175">
              <w:rPr>
                <w:rFonts w:ascii="Times New Roman" w:hAnsi="Times New Roman" w:cs="Times New Roman"/>
                <w:sz w:val="24"/>
                <w:szCs w:val="24"/>
              </w:rPr>
              <w:t xml:space="preserve"> </w:t>
            </w:r>
          </w:p>
          <w:p w14:paraId="25D92369" w14:textId="337555D3" w:rsidR="00A37879" w:rsidRPr="00837A38" w:rsidRDefault="00837A38" w:rsidP="00837A38">
            <w:pPr>
              <w:pStyle w:val="ListParagraph"/>
              <w:numPr>
                <w:ilvl w:val="0"/>
                <w:numId w:val="1"/>
              </w:numPr>
              <w:spacing w:line="240" w:lineRule="auto"/>
              <w:rPr>
                <w:sz w:val="24"/>
                <w:szCs w:val="24"/>
              </w:rPr>
            </w:pPr>
            <w:r w:rsidRPr="00837A38">
              <w:rPr>
                <w:rFonts w:ascii="Times New Roman" w:hAnsi="Times New Roman"/>
                <w:sz w:val="24"/>
                <w:szCs w:val="24"/>
              </w:rPr>
              <w:t>Assess the ability to predict late-rotation response to fertilization across the Pacific Northwest according to PRS probes and available and total soil nutrition.</w:t>
            </w:r>
          </w:p>
        </w:tc>
      </w:tr>
      <w:tr w:rsidR="00A37879" w14:paraId="137CDC38"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51C1E25D" w14:textId="77777777" w:rsidR="00A37879" w:rsidRDefault="00000000">
            <w:r>
              <w:rPr>
                <w:rFonts w:ascii="Times New Roman" w:hAnsi="Times New Roman"/>
                <w:b/>
                <w:szCs w:val="24"/>
              </w:rPr>
              <w:t xml:space="preserve">METHODS: </w:t>
            </w:r>
          </w:p>
          <w:p w14:paraId="1615DC49" w14:textId="77777777" w:rsidR="00A37879" w:rsidRDefault="00A37879">
            <w:pPr>
              <w:rPr>
                <w:rFonts w:ascii="Times New Roman" w:hAnsi="Times New Roman"/>
                <w:szCs w:val="24"/>
              </w:rPr>
            </w:pPr>
          </w:p>
          <w:p w14:paraId="7995E096" w14:textId="77777777" w:rsidR="00837A38" w:rsidRDefault="00837A38" w:rsidP="00837A38">
            <w:pPr>
              <w:rPr>
                <w:rFonts w:ascii="Times New Roman" w:hAnsi="Times New Roman"/>
                <w:szCs w:val="24"/>
              </w:rPr>
            </w:pPr>
            <w:r>
              <w:rPr>
                <w:rFonts w:ascii="Times New Roman" w:hAnsi="Times New Roman"/>
                <w:b/>
                <w:szCs w:val="24"/>
              </w:rPr>
              <w:t>Stand Selection.</w:t>
            </w:r>
            <w:r>
              <w:rPr>
                <w:rFonts w:ascii="Times New Roman" w:hAnsi="Times New Roman"/>
                <w:szCs w:val="24"/>
              </w:rPr>
              <w:t xml:space="preserve">  The population of interest is late-rotation managed Douglas-fir stands in Oregon, Washington, and British Columbia that landowners are considering as candidates for fertilization. Late-rotation will be defined as 8-10 years before final harvest with the actual harvest age defined by the landowner and bracketed by stands between </w:t>
            </w:r>
            <w:proofErr w:type="gramStart"/>
            <w:r>
              <w:rPr>
                <w:rFonts w:ascii="Times New Roman" w:hAnsi="Times New Roman"/>
                <w:szCs w:val="24"/>
              </w:rPr>
              <w:t>28 and 50 years</w:t>
            </w:r>
            <w:proofErr w:type="gramEnd"/>
            <w:r>
              <w:rPr>
                <w:rFonts w:ascii="Times New Roman" w:hAnsi="Times New Roman"/>
                <w:szCs w:val="24"/>
              </w:rPr>
              <w:t xml:space="preserve"> total age. Candidate stands will have at least 75% of the basal area in Douglas-fir with at least 85% of the basal area being conifer. Stands could have been thinned (PCT or CT) or fertilized in the past. </w:t>
            </w:r>
          </w:p>
          <w:p w14:paraId="05D5D5C1" w14:textId="77777777" w:rsidR="00837A38" w:rsidRDefault="00837A38" w:rsidP="00837A38">
            <w:pPr>
              <w:rPr>
                <w:rFonts w:ascii="Times New Roman" w:hAnsi="Times New Roman"/>
                <w:szCs w:val="24"/>
              </w:rPr>
            </w:pPr>
          </w:p>
          <w:p w14:paraId="54A7B75D" w14:textId="77777777" w:rsidR="00A37879" w:rsidRDefault="00837A38">
            <w:pPr>
              <w:rPr>
                <w:rFonts w:ascii="Times New Roman" w:hAnsi="Times New Roman"/>
                <w:szCs w:val="24"/>
              </w:rPr>
            </w:pPr>
            <w:r>
              <w:rPr>
                <w:rFonts w:ascii="Times New Roman" w:hAnsi="Times New Roman"/>
                <w:szCs w:val="24"/>
              </w:rPr>
              <w:t xml:space="preserve">Thirty-two sample stands were allocated across four zones (in the U.S.) in proportion to industrial forestland area within each zone or stratum.  Figure 1A depicts the four strata that were used for sampling stands in the U.S based on a melding of soil parent material characteristics and physiographic attributes. The two defined strata in B.C. are industrial forestland </w:t>
            </w:r>
            <w:r>
              <w:rPr>
                <w:rFonts w:ascii="Times New Roman" w:hAnsi="Times New Roman"/>
                <w:szCs w:val="24"/>
              </w:rPr>
              <w:t>o</w:t>
            </w:r>
            <w:r>
              <w:rPr>
                <w:rFonts w:ascii="Times New Roman" w:hAnsi="Times New Roman"/>
                <w:szCs w:val="24"/>
              </w:rPr>
              <w:t>n the east side of Vancouver Island and west side of the mainland (Figure 1A). Three installations were established in each of the strata in B.C. Stands were selected by first randomly choosing latitude/longitude coordinates within the boundaries of the forested area within each stratum. Then, members owning land within a radius of 3.38 miles (5.44 km) provided a list of candidate stands within the defined circle.</w:t>
            </w:r>
          </w:p>
          <w:p w14:paraId="449B9077" w14:textId="77777777" w:rsidR="00837A38" w:rsidRDefault="00837A38">
            <w:pPr>
              <w:rPr>
                <w:rFonts w:ascii="Times New Roman" w:hAnsi="Times New Roman"/>
                <w:szCs w:val="24"/>
              </w:rPr>
            </w:pPr>
          </w:p>
          <w:p w14:paraId="1F01F27C" w14:textId="77777777" w:rsidR="00837A38" w:rsidRDefault="00837A38" w:rsidP="00837A38">
            <w:pPr>
              <w:rPr>
                <w:rFonts w:ascii="Times New Roman" w:hAnsi="Times New Roman"/>
                <w:szCs w:val="24"/>
              </w:rPr>
            </w:pPr>
            <w:r>
              <w:rPr>
                <w:rFonts w:ascii="Times New Roman" w:hAnsi="Times New Roman"/>
                <w:b/>
                <w:szCs w:val="24"/>
              </w:rPr>
              <w:lastRenderedPageBreak/>
              <w:t>Installation Description</w:t>
            </w:r>
            <w:r>
              <w:rPr>
                <w:rFonts w:ascii="Times New Roman" w:hAnsi="Times New Roman"/>
                <w:szCs w:val="24"/>
              </w:rPr>
              <w:t xml:space="preserve">. An installation contains a pair of plots that were established in uniform conditions.  Plots were between 0.2 and 0.5 acres (0.1-0.2 ha) based on stand density such that each plot contained around 75 trees.  All plots have a 32.8-ft (10 m) treated (or untreated) buffer. </w:t>
            </w:r>
          </w:p>
          <w:p w14:paraId="28C03CF0" w14:textId="77777777" w:rsidR="00837A38" w:rsidRDefault="00837A38" w:rsidP="00837A38">
            <w:pPr>
              <w:rPr>
                <w:rFonts w:ascii="Times New Roman" w:hAnsi="Times New Roman"/>
                <w:szCs w:val="24"/>
              </w:rPr>
            </w:pPr>
          </w:p>
          <w:p w14:paraId="71EE9E5F" w14:textId="77777777" w:rsidR="00837A38" w:rsidRDefault="00837A38" w:rsidP="00837A38">
            <w:pPr>
              <w:rPr>
                <w:rFonts w:ascii="Times New Roman" w:hAnsi="Times New Roman"/>
                <w:szCs w:val="24"/>
              </w:rPr>
            </w:pPr>
            <w:r>
              <w:rPr>
                <w:rFonts w:ascii="Times New Roman" w:hAnsi="Times New Roman"/>
                <w:szCs w:val="24"/>
              </w:rPr>
              <w:t xml:space="preserve">Four or five temporary plots were </w:t>
            </w:r>
            <w:proofErr w:type="gramStart"/>
            <w:r>
              <w:rPr>
                <w:rFonts w:ascii="Times New Roman" w:hAnsi="Times New Roman"/>
                <w:szCs w:val="24"/>
              </w:rPr>
              <w:t>created</w:t>
            </w:r>
            <w:proofErr w:type="gramEnd"/>
            <w:r>
              <w:rPr>
                <w:rFonts w:ascii="Times New Roman" w:hAnsi="Times New Roman"/>
                <w:szCs w:val="24"/>
              </w:rPr>
              <w:t xml:space="preserve"> and diameters tallied by species.  From these data, the two most similar plots according to diameter distribution and basal area were selected for the study. The final paired plots were within ±10% for basal area and ±10% for quadratic mean DBH (QMD).  Also, the non-conifer proportions of each plot in a pair had similar species composition.  Once a pair was found, the two study plots were established with all live trees &gt; 2.0” DBH tagged (or painted) with a unique tree number and measured for species, diameter at breast height (DBH) located at 4.5 ft (1.37 m), total height (HT), and height-to-live-crown (HLC), and general comments.</w:t>
            </w:r>
          </w:p>
          <w:p w14:paraId="6A3EA4E2" w14:textId="77777777" w:rsidR="00837A38" w:rsidRDefault="00837A38" w:rsidP="00837A38">
            <w:pPr>
              <w:rPr>
                <w:rFonts w:ascii="Times New Roman" w:hAnsi="Times New Roman"/>
                <w:szCs w:val="24"/>
              </w:rPr>
            </w:pPr>
          </w:p>
          <w:p w14:paraId="00487468" w14:textId="77777777" w:rsidR="00837A38" w:rsidRDefault="00837A38" w:rsidP="00837A38">
            <w:pPr>
              <w:rPr>
                <w:rFonts w:ascii="Times New Roman" w:hAnsi="Times New Roman"/>
                <w:szCs w:val="24"/>
              </w:rPr>
            </w:pPr>
            <w:r>
              <w:rPr>
                <w:rFonts w:ascii="Times New Roman" w:hAnsi="Times New Roman"/>
                <w:szCs w:val="24"/>
              </w:rPr>
              <w:t xml:space="preserve">One plot in each pair was randomly assigned the fertilizer treatment.  The fertilizer treatment plot (measurement plot with buffer) was treated with the equivalent of 200 </w:t>
            </w:r>
            <w:proofErr w:type="spellStart"/>
            <w:r>
              <w:rPr>
                <w:rFonts w:ascii="Times New Roman" w:hAnsi="Times New Roman"/>
                <w:szCs w:val="24"/>
              </w:rPr>
              <w:t>lbs</w:t>
            </w:r>
            <w:proofErr w:type="spellEnd"/>
            <w:r>
              <w:rPr>
                <w:rFonts w:ascii="Times New Roman" w:hAnsi="Times New Roman"/>
                <w:szCs w:val="24"/>
              </w:rPr>
              <w:t>/acre of N using best practices (time of year, weather conditions and uniformity).  Fertilization was carried out in March-April in WA and OR installations and in November in B.C. installations.</w:t>
            </w:r>
          </w:p>
          <w:p w14:paraId="76A66862" w14:textId="77777777" w:rsidR="00837A38" w:rsidRDefault="00837A38" w:rsidP="00837A38">
            <w:pPr>
              <w:rPr>
                <w:rFonts w:ascii="Times New Roman" w:hAnsi="Times New Roman"/>
                <w:szCs w:val="24"/>
              </w:rPr>
            </w:pPr>
          </w:p>
          <w:p w14:paraId="68FF770E" w14:textId="77777777" w:rsidR="00837A38" w:rsidRDefault="00837A38" w:rsidP="00837A38">
            <w:r>
              <w:t>The plots will be remeasured two, four, six, and eight</w:t>
            </w:r>
            <w:r>
              <w:rPr>
                <w:color w:val="FF0000"/>
              </w:rPr>
              <w:t xml:space="preserve"> </w:t>
            </w:r>
            <w:r>
              <w:t>growing seasons after fertilization treatment for tree status (live/dead), DBH, HT, and HLC. Responsiveness of each installation will be determined by the difference between the control-calibrated predicted growth on the fertilized plot and actual fertilized plot growth (McWilliams and Burk 1994).  The actual proportion of the response will be tested against the expected responsiveness of 1 (no difference to control).  The tree lists can also be projected on SMC-ORGANON to anticipated harvest age (5 – 10 years) and an economic analysis done using merchantable volume and average log values, costs, and interest rates for cooperators.</w:t>
            </w:r>
          </w:p>
          <w:p w14:paraId="2B873B44" w14:textId="77777777" w:rsidR="00837A38" w:rsidRDefault="00837A38" w:rsidP="00837A38">
            <w:pPr>
              <w:rPr>
                <w:rFonts w:ascii="Times New Roman" w:hAnsi="Times New Roman"/>
                <w:szCs w:val="24"/>
              </w:rPr>
            </w:pPr>
          </w:p>
          <w:p w14:paraId="7DF957BF" w14:textId="77777777" w:rsidR="00837A38" w:rsidRDefault="00837A38" w:rsidP="00837A38">
            <w:r>
              <w:t xml:space="preserve">Pre-treatment soil nutrients were sampled on both paired plots.  One soil pit to a depth of one meter was sampled by depth for soil nutrient analysis (carbon (C), N, exchangeable cations, and Bray phosphorus (P)).  Three forest floor samples of </w:t>
            </w:r>
            <w:proofErr w:type="gramStart"/>
            <w:r>
              <w:t>known</w:t>
            </w:r>
            <w:proofErr w:type="gramEnd"/>
            <w:r>
              <w:t xml:space="preserve"> area were composited per plot.  Anion and cation plant root simulator (PRS) probes were installed horizontally in each plot at 2-in soil depth in the spring during fertilization.  The probes were installed in four randomly located pits within each plot and then removed 12 weeks later. During the first growth measurement (two growing seasons after establishment), foliage, branch, and tree core samples will be removed and analyzed for total C and N and total metals.  We will determine if forest floor, soil, and tree nutrition are indicative of late-rotation Douglas-fir fertilizer response.</w:t>
            </w:r>
          </w:p>
          <w:p w14:paraId="5FB08F78" w14:textId="1B20A0BA" w:rsidR="00837A38" w:rsidRPr="00837A38" w:rsidRDefault="00837A38">
            <w:pPr>
              <w:rPr>
                <w:rFonts w:ascii="Times New Roman" w:hAnsi="Times New Roman"/>
                <w:szCs w:val="24"/>
              </w:rPr>
            </w:pPr>
          </w:p>
        </w:tc>
      </w:tr>
      <w:tr w:rsidR="00A37879" w14:paraId="4116B3BC"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3818F9DB" w14:textId="77777777" w:rsidR="00A37879" w:rsidRDefault="00000000">
            <w:pPr>
              <w:rPr>
                <w:rFonts w:ascii="Times New Roman" w:hAnsi="Times New Roman"/>
                <w:b/>
                <w:szCs w:val="24"/>
              </w:rPr>
            </w:pPr>
            <w:r>
              <w:rPr>
                <w:rFonts w:ascii="Times New Roman" w:hAnsi="Times New Roman"/>
                <w:b/>
                <w:szCs w:val="24"/>
              </w:rPr>
              <w:lastRenderedPageBreak/>
              <w:t xml:space="preserve">MAJOR FINDINGS:  </w:t>
            </w:r>
          </w:p>
          <w:p w14:paraId="3136122A" w14:textId="77777777" w:rsidR="00A37879" w:rsidRDefault="00A37879">
            <w:pPr>
              <w:rPr>
                <w:rFonts w:ascii="Times New Roman" w:hAnsi="Times New Roman"/>
                <w:szCs w:val="24"/>
              </w:rPr>
            </w:pPr>
          </w:p>
          <w:p w14:paraId="3A951054" w14:textId="438C2E38" w:rsidR="00046FEB" w:rsidRPr="00046FEB" w:rsidRDefault="00046FEB" w:rsidP="00837A38">
            <w:pPr>
              <w:pStyle w:val="ListParagraph"/>
              <w:numPr>
                <w:ilvl w:val="0"/>
                <w:numId w:val="2"/>
              </w:numPr>
              <w:spacing w:line="240" w:lineRule="auto"/>
              <w:ind w:left="378"/>
              <w:rPr>
                <w:rFonts w:ascii="Times New Roman" w:hAnsi="Times New Roman" w:cs="Times New Roman"/>
                <w:sz w:val="24"/>
                <w:szCs w:val="24"/>
              </w:rPr>
            </w:pPr>
            <w:r w:rsidRPr="00046FEB">
              <w:rPr>
                <w:rFonts w:ascii="Times New Roman" w:hAnsi="Times New Roman"/>
                <w:sz w:val="24"/>
                <w:szCs w:val="24"/>
              </w:rPr>
              <w:t xml:space="preserve">Four-year percent tree volume response and volume response per acre were positively correlated (Figure </w:t>
            </w:r>
            <w:r w:rsidR="00986A85">
              <w:rPr>
                <w:rFonts w:ascii="Times New Roman" w:hAnsi="Times New Roman"/>
                <w:sz w:val="24"/>
                <w:szCs w:val="24"/>
              </w:rPr>
              <w:t>1</w:t>
            </w:r>
            <w:r w:rsidRPr="00046FEB">
              <w:rPr>
                <w:rFonts w:ascii="Times New Roman" w:hAnsi="Times New Roman"/>
                <w:sz w:val="24"/>
                <w:szCs w:val="24"/>
              </w:rPr>
              <w:t xml:space="preserve">). Disparities in volume response per tree and per acre were due to differences in mortality between treatment plots. There was no significant effect of fertilization on four-year mortality.  However, there was a slight increase in mortality of suppressed trees in fertilized plots of dense, low-productivity installations. </w:t>
            </w:r>
            <w:r w:rsidR="00711317">
              <w:rPr>
                <w:rFonts w:ascii="Times New Roman" w:hAnsi="Times New Roman"/>
                <w:sz w:val="24"/>
                <w:szCs w:val="24"/>
              </w:rPr>
              <w:t xml:space="preserve">Because there was no significant effect on mortality between treatments, trees that died during the current measurements were not included in the calculation of stand volume response (Figure </w:t>
            </w:r>
            <w:r w:rsidR="00986A85">
              <w:rPr>
                <w:rFonts w:ascii="Times New Roman" w:hAnsi="Times New Roman"/>
                <w:sz w:val="24"/>
                <w:szCs w:val="24"/>
              </w:rPr>
              <w:t>1</w:t>
            </w:r>
            <w:r w:rsidR="00711317">
              <w:rPr>
                <w:rFonts w:ascii="Times New Roman" w:hAnsi="Times New Roman"/>
                <w:sz w:val="24"/>
                <w:szCs w:val="24"/>
              </w:rPr>
              <w:t>).</w:t>
            </w:r>
          </w:p>
          <w:p w14:paraId="0F20CFD5" w14:textId="7289BACB" w:rsidR="00837A38" w:rsidRPr="00361B35" w:rsidRDefault="00837A38" w:rsidP="00837A38">
            <w:pPr>
              <w:pStyle w:val="ListParagraph"/>
              <w:numPr>
                <w:ilvl w:val="0"/>
                <w:numId w:val="2"/>
              </w:numPr>
              <w:spacing w:line="240" w:lineRule="auto"/>
              <w:ind w:left="378"/>
              <w:rPr>
                <w:rFonts w:ascii="Times New Roman" w:hAnsi="Times New Roman" w:cs="Times New Roman"/>
                <w:sz w:val="24"/>
                <w:szCs w:val="24"/>
              </w:rPr>
            </w:pPr>
            <w:r>
              <w:rPr>
                <w:rFonts w:ascii="Times New Roman" w:hAnsi="Times New Roman" w:cs="Times New Roman"/>
                <w:sz w:val="24"/>
                <w:szCs w:val="24"/>
              </w:rPr>
              <w:t>Four-year</w:t>
            </w:r>
            <w:r w:rsidRPr="00BE6F3F">
              <w:rPr>
                <w:rFonts w:ascii="Times New Roman" w:hAnsi="Times New Roman" w:cs="Times New Roman"/>
                <w:sz w:val="24"/>
                <w:szCs w:val="24"/>
              </w:rPr>
              <w:t xml:space="preserve"> volume response per tree </w:t>
            </w:r>
            <w:r>
              <w:rPr>
                <w:rFonts w:ascii="Times New Roman" w:hAnsi="Times New Roman" w:cs="Times New Roman"/>
                <w:sz w:val="24"/>
                <w:szCs w:val="24"/>
              </w:rPr>
              <w:t xml:space="preserve">and per acre was significantly greater in regions </w:t>
            </w:r>
            <w:r w:rsidRPr="00BE6F3F">
              <w:rPr>
                <w:rFonts w:ascii="Times New Roman" w:hAnsi="Times New Roman" w:cs="Times New Roman"/>
                <w:sz w:val="24"/>
                <w:szCs w:val="24"/>
              </w:rPr>
              <w:t xml:space="preserve">predicted </w:t>
            </w:r>
            <w:r>
              <w:rPr>
                <w:rFonts w:ascii="Times New Roman" w:hAnsi="Times New Roman" w:cs="Times New Roman"/>
                <w:sz w:val="24"/>
                <w:szCs w:val="24"/>
              </w:rPr>
              <w:t>to respond in the</w:t>
            </w:r>
            <w:r w:rsidRPr="00BE6F3F">
              <w:rPr>
                <w:rFonts w:ascii="Times New Roman" w:hAnsi="Times New Roman" w:cs="Times New Roman"/>
                <w:sz w:val="24"/>
                <w:szCs w:val="24"/>
              </w:rPr>
              <w:t xml:space="preserve"> Paired-Tree Study fertilization model (Figure </w:t>
            </w:r>
            <w:r w:rsidR="00986A85">
              <w:rPr>
                <w:rFonts w:ascii="Times New Roman" w:hAnsi="Times New Roman" w:cs="Times New Roman"/>
                <w:sz w:val="24"/>
                <w:szCs w:val="24"/>
              </w:rPr>
              <w:t>2</w:t>
            </w:r>
            <w:r w:rsidRPr="00BE6F3F">
              <w:rPr>
                <w:rFonts w:ascii="Times New Roman" w:hAnsi="Times New Roman" w:cs="Times New Roman"/>
                <w:sz w:val="24"/>
                <w:szCs w:val="24"/>
              </w:rPr>
              <w:t>A). The average</w:t>
            </w:r>
            <w:r>
              <w:rPr>
                <w:rFonts w:ascii="Times New Roman" w:hAnsi="Times New Roman" w:cs="Times New Roman"/>
                <w:sz w:val="24"/>
                <w:szCs w:val="24"/>
              </w:rPr>
              <w:t xml:space="preserve"> four-year</w:t>
            </w:r>
            <w:r w:rsidRPr="00BE6F3F">
              <w:rPr>
                <w:rFonts w:ascii="Times New Roman" w:hAnsi="Times New Roman" w:cs="Times New Roman"/>
                <w:sz w:val="24"/>
                <w:szCs w:val="24"/>
              </w:rPr>
              <w:t xml:space="preserve"> volume </w:t>
            </w:r>
            <w:r w:rsidRPr="00BE6F3F">
              <w:rPr>
                <w:rFonts w:ascii="Times New Roman" w:hAnsi="Times New Roman" w:cs="Times New Roman"/>
                <w:sz w:val="24"/>
                <w:szCs w:val="24"/>
              </w:rPr>
              <w:lastRenderedPageBreak/>
              <w:t xml:space="preserve">response in predicted response regions </w:t>
            </w:r>
            <w:r w:rsidRPr="00361B35">
              <w:rPr>
                <w:rFonts w:ascii="Times New Roman" w:hAnsi="Times New Roman" w:cs="Times New Roman"/>
                <w:sz w:val="24"/>
                <w:szCs w:val="24"/>
              </w:rPr>
              <w:t xml:space="preserve">was </w:t>
            </w:r>
            <w:r w:rsidR="002345D1">
              <w:rPr>
                <w:rFonts w:ascii="Times New Roman" w:hAnsi="Times New Roman" w:cs="Times New Roman"/>
                <w:sz w:val="24"/>
                <w:szCs w:val="24"/>
              </w:rPr>
              <w:t>27</w:t>
            </w:r>
            <w:r>
              <w:rPr>
                <w:rFonts w:ascii="Times New Roman" w:hAnsi="Times New Roman" w:cs="Times New Roman"/>
                <w:sz w:val="24"/>
                <w:szCs w:val="24"/>
              </w:rPr>
              <w:t xml:space="preserve"> </w:t>
            </w:r>
            <w:r w:rsidRPr="00361B35">
              <w:rPr>
                <w:rFonts w:ascii="Times New Roman" w:hAnsi="Times New Roman" w:cs="Times New Roman"/>
                <w:sz w:val="24"/>
                <w:szCs w:val="24"/>
              </w:rPr>
              <w:t xml:space="preserve">± </w:t>
            </w:r>
            <w:r>
              <w:rPr>
                <w:rFonts w:ascii="Times New Roman" w:hAnsi="Times New Roman" w:cs="Times New Roman"/>
                <w:sz w:val="24"/>
                <w:szCs w:val="24"/>
              </w:rPr>
              <w:t>2</w:t>
            </w:r>
            <w:r w:rsidR="002345D1">
              <w:rPr>
                <w:rFonts w:ascii="Times New Roman" w:hAnsi="Times New Roman" w:cs="Times New Roman"/>
                <w:sz w:val="24"/>
                <w:szCs w:val="24"/>
              </w:rPr>
              <w:t>8</w:t>
            </w:r>
            <w:r w:rsidRPr="00361B35">
              <w:rPr>
                <w:rFonts w:ascii="Times New Roman" w:hAnsi="Times New Roman" w:cs="Times New Roman"/>
                <w:sz w:val="24"/>
                <w:szCs w:val="24"/>
              </w:rPr>
              <w:t xml:space="preserve">% per tree and </w:t>
            </w:r>
            <w:r w:rsidR="002345D1">
              <w:rPr>
                <w:rFonts w:ascii="Times New Roman" w:hAnsi="Times New Roman" w:cs="Times New Roman"/>
                <w:sz w:val="24"/>
                <w:szCs w:val="24"/>
              </w:rPr>
              <w:t>59</w:t>
            </w:r>
            <w:r w:rsidRPr="00361B35">
              <w:rPr>
                <w:rFonts w:ascii="Times New Roman" w:hAnsi="Times New Roman" w:cs="Times New Roman"/>
                <w:sz w:val="24"/>
                <w:szCs w:val="24"/>
              </w:rPr>
              <w:t xml:space="preserve"> ± </w:t>
            </w:r>
            <w:r w:rsidR="002345D1">
              <w:rPr>
                <w:rFonts w:ascii="Times New Roman" w:hAnsi="Times New Roman" w:cs="Times New Roman"/>
                <w:sz w:val="24"/>
                <w:szCs w:val="24"/>
              </w:rPr>
              <w:t>45</w:t>
            </w:r>
            <w:r w:rsidRPr="00361B35">
              <w:rPr>
                <w:rFonts w:ascii="Times New Roman" w:hAnsi="Times New Roman" w:cs="Times New Roman"/>
                <w:sz w:val="24"/>
                <w:szCs w:val="24"/>
              </w:rPr>
              <w:t xml:space="preserve"> ft</w:t>
            </w:r>
            <w:r w:rsidRPr="00361B35">
              <w:rPr>
                <w:rFonts w:ascii="Times New Roman" w:hAnsi="Times New Roman" w:cs="Times New Roman"/>
                <w:sz w:val="24"/>
                <w:szCs w:val="24"/>
                <w:vertAlign w:val="superscript"/>
              </w:rPr>
              <w:t>3</w:t>
            </w:r>
            <w:r w:rsidRPr="00361B35">
              <w:rPr>
                <w:rFonts w:ascii="Times New Roman" w:hAnsi="Times New Roman" w:cs="Times New Roman"/>
                <w:sz w:val="24"/>
                <w:szCs w:val="24"/>
              </w:rPr>
              <w:t>/ac/</w:t>
            </w:r>
            <w:proofErr w:type="spellStart"/>
            <w:r w:rsidRPr="00361B35">
              <w:rPr>
                <w:rFonts w:ascii="Times New Roman" w:hAnsi="Times New Roman" w:cs="Times New Roman"/>
                <w:sz w:val="24"/>
                <w:szCs w:val="24"/>
              </w:rPr>
              <w:t>yr</w:t>
            </w:r>
            <w:proofErr w:type="spellEnd"/>
            <w:r w:rsidRPr="00361B35">
              <w:rPr>
                <w:rFonts w:ascii="Times New Roman" w:hAnsi="Times New Roman" w:cs="Times New Roman"/>
                <w:sz w:val="24"/>
                <w:szCs w:val="24"/>
              </w:rPr>
              <w:t>, while non-responsive regions were 11</w:t>
            </w:r>
            <w:r>
              <w:rPr>
                <w:rFonts w:ascii="Times New Roman" w:hAnsi="Times New Roman" w:cs="Times New Roman"/>
                <w:sz w:val="24"/>
                <w:szCs w:val="24"/>
              </w:rPr>
              <w:t xml:space="preserve"> </w:t>
            </w:r>
            <w:r w:rsidRPr="00361B35">
              <w:rPr>
                <w:rFonts w:ascii="Times New Roman" w:hAnsi="Times New Roman" w:cs="Times New Roman"/>
                <w:sz w:val="24"/>
                <w:szCs w:val="24"/>
              </w:rPr>
              <w:t xml:space="preserve">± </w:t>
            </w:r>
            <w:r w:rsidR="002345D1">
              <w:rPr>
                <w:rFonts w:ascii="Times New Roman" w:hAnsi="Times New Roman" w:cs="Times New Roman"/>
                <w:sz w:val="24"/>
                <w:szCs w:val="24"/>
              </w:rPr>
              <w:t>22</w:t>
            </w:r>
            <w:r w:rsidRPr="00361B35">
              <w:rPr>
                <w:rFonts w:ascii="Times New Roman" w:hAnsi="Times New Roman" w:cs="Times New Roman"/>
                <w:sz w:val="24"/>
                <w:szCs w:val="24"/>
              </w:rPr>
              <w:t xml:space="preserve">% per tree and </w:t>
            </w:r>
            <w:r w:rsidR="002345D1">
              <w:rPr>
                <w:rFonts w:ascii="Times New Roman" w:hAnsi="Times New Roman" w:cs="Times New Roman"/>
                <w:sz w:val="24"/>
                <w:szCs w:val="24"/>
              </w:rPr>
              <w:t>17</w:t>
            </w:r>
            <w:r w:rsidR="002345D1" w:rsidRPr="00361B35">
              <w:rPr>
                <w:rFonts w:ascii="Times New Roman" w:hAnsi="Times New Roman" w:cs="Times New Roman"/>
                <w:sz w:val="24"/>
                <w:szCs w:val="24"/>
              </w:rPr>
              <w:t xml:space="preserve"> ± </w:t>
            </w:r>
            <w:r w:rsidR="002345D1">
              <w:rPr>
                <w:rFonts w:ascii="Times New Roman" w:hAnsi="Times New Roman" w:cs="Times New Roman"/>
                <w:sz w:val="24"/>
                <w:szCs w:val="24"/>
              </w:rPr>
              <w:t>47</w:t>
            </w:r>
            <w:r w:rsidR="002345D1" w:rsidRPr="00361B35">
              <w:rPr>
                <w:rFonts w:ascii="Times New Roman" w:hAnsi="Times New Roman" w:cs="Times New Roman"/>
                <w:sz w:val="24"/>
                <w:szCs w:val="24"/>
              </w:rPr>
              <w:t xml:space="preserve"> </w:t>
            </w:r>
            <w:r w:rsidRPr="00361B35">
              <w:rPr>
                <w:rFonts w:ascii="Times New Roman" w:hAnsi="Times New Roman" w:cs="Times New Roman"/>
                <w:sz w:val="24"/>
                <w:szCs w:val="24"/>
              </w:rPr>
              <w:t>ft</w:t>
            </w:r>
            <w:r w:rsidRPr="00361B35">
              <w:rPr>
                <w:rFonts w:ascii="Times New Roman" w:hAnsi="Times New Roman" w:cs="Times New Roman"/>
                <w:sz w:val="24"/>
                <w:szCs w:val="24"/>
                <w:vertAlign w:val="superscript"/>
              </w:rPr>
              <w:t>3</w:t>
            </w:r>
            <w:r w:rsidRPr="00361B35">
              <w:rPr>
                <w:rFonts w:ascii="Times New Roman" w:hAnsi="Times New Roman" w:cs="Times New Roman"/>
                <w:sz w:val="24"/>
                <w:szCs w:val="24"/>
              </w:rPr>
              <w:t xml:space="preserve">/ac/yr. </w:t>
            </w:r>
            <w:r w:rsidR="002345D1">
              <w:rPr>
                <w:rFonts w:ascii="Times New Roman" w:hAnsi="Times New Roman" w:cs="Times New Roman"/>
                <w:sz w:val="24"/>
                <w:szCs w:val="24"/>
              </w:rPr>
              <w:t>When comparing data from the Paired-Tree and Late-Rotation studies, p</w:t>
            </w:r>
            <w:r>
              <w:rPr>
                <w:rFonts w:ascii="Times New Roman" w:hAnsi="Times New Roman" w:cs="Times New Roman"/>
                <w:sz w:val="24"/>
                <w:szCs w:val="24"/>
              </w:rPr>
              <w:t xml:space="preserve">redicted response regions also significantly lower </w:t>
            </w:r>
            <w:r w:rsidR="002345D1">
              <w:rPr>
                <w:rFonts w:ascii="Times New Roman" w:hAnsi="Times New Roman" w:cs="Times New Roman"/>
                <w:sz w:val="24"/>
                <w:szCs w:val="24"/>
              </w:rPr>
              <w:t xml:space="preserve">site index, </w:t>
            </w:r>
            <w:r>
              <w:rPr>
                <w:rFonts w:ascii="Times New Roman" w:hAnsi="Times New Roman" w:cs="Times New Roman"/>
                <w:sz w:val="24"/>
                <w:szCs w:val="24"/>
              </w:rPr>
              <w:t xml:space="preserve">PRS NO3 </w:t>
            </w:r>
            <w:r w:rsidR="002345D1">
              <w:rPr>
                <w:rFonts w:ascii="Times New Roman" w:hAnsi="Times New Roman" w:cs="Times New Roman"/>
                <w:sz w:val="24"/>
                <w:szCs w:val="24"/>
              </w:rPr>
              <w:t>supply rate,</w:t>
            </w:r>
            <w:r>
              <w:rPr>
                <w:rFonts w:ascii="Times New Roman" w:hAnsi="Times New Roman" w:cs="Times New Roman"/>
                <w:sz w:val="24"/>
                <w:szCs w:val="24"/>
              </w:rPr>
              <w:t xml:space="preserve"> and foliar N and greater surface soil C:N ratios.</w:t>
            </w:r>
            <w:r w:rsidR="002345D1">
              <w:rPr>
                <w:rFonts w:ascii="Times New Roman" w:hAnsi="Times New Roman" w:cs="Times New Roman"/>
                <w:sz w:val="24"/>
                <w:szCs w:val="24"/>
              </w:rPr>
              <w:t xml:space="preserve"> Therefore, the regions with predicted response from the Paired-Tree Study </w:t>
            </w:r>
            <w:r w:rsidR="00CD3413">
              <w:rPr>
                <w:rFonts w:ascii="Times New Roman" w:hAnsi="Times New Roman" w:cs="Times New Roman"/>
                <w:sz w:val="24"/>
                <w:szCs w:val="24"/>
              </w:rPr>
              <w:t>were</w:t>
            </w:r>
            <w:r w:rsidR="002345D1">
              <w:rPr>
                <w:rFonts w:ascii="Times New Roman" w:hAnsi="Times New Roman" w:cs="Times New Roman"/>
                <w:sz w:val="24"/>
                <w:szCs w:val="24"/>
              </w:rPr>
              <w:t xml:space="preserve"> more responsive due to lower N availability and </w:t>
            </w:r>
            <w:r w:rsidR="00CD3413">
              <w:rPr>
                <w:rFonts w:ascii="Times New Roman" w:hAnsi="Times New Roman" w:cs="Times New Roman"/>
                <w:sz w:val="24"/>
                <w:szCs w:val="24"/>
              </w:rPr>
              <w:t>site productivity.</w:t>
            </w:r>
          </w:p>
          <w:p w14:paraId="71E4420F" w14:textId="4E9321EB" w:rsidR="00CD3413" w:rsidRPr="005201DC" w:rsidRDefault="00CD3413" w:rsidP="00CD3413">
            <w:pPr>
              <w:pStyle w:val="ListParagraph"/>
              <w:numPr>
                <w:ilvl w:val="0"/>
                <w:numId w:val="2"/>
              </w:numPr>
              <w:spacing w:line="240" w:lineRule="auto"/>
              <w:ind w:left="378"/>
              <w:rPr>
                <w:rFonts w:ascii="Times New Roman" w:hAnsi="Times New Roman"/>
                <w:sz w:val="24"/>
                <w:szCs w:val="24"/>
              </w:rPr>
            </w:pPr>
            <w:r w:rsidRPr="005201DC">
              <w:rPr>
                <w:rFonts w:ascii="Times New Roman" w:hAnsi="Times New Roman"/>
                <w:sz w:val="24"/>
                <w:szCs w:val="28"/>
              </w:rPr>
              <w:t xml:space="preserve">There were no significant differences in volume response per tree or per acre </w:t>
            </w:r>
            <w:r w:rsidR="00046FEB">
              <w:rPr>
                <w:rFonts w:ascii="Times New Roman" w:hAnsi="Times New Roman"/>
                <w:sz w:val="24"/>
                <w:szCs w:val="28"/>
              </w:rPr>
              <w:t xml:space="preserve">from 0-4 years </w:t>
            </w:r>
            <w:r w:rsidRPr="005201DC">
              <w:rPr>
                <w:rFonts w:ascii="Times New Roman" w:hAnsi="Times New Roman"/>
                <w:sz w:val="24"/>
                <w:szCs w:val="28"/>
              </w:rPr>
              <w:t xml:space="preserve">according to physiographic region (Figure </w:t>
            </w:r>
            <w:r w:rsidR="00986A85">
              <w:rPr>
                <w:rFonts w:ascii="Times New Roman" w:hAnsi="Times New Roman"/>
                <w:sz w:val="24"/>
                <w:szCs w:val="28"/>
              </w:rPr>
              <w:t>2</w:t>
            </w:r>
            <w:r>
              <w:rPr>
                <w:rFonts w:ascii="Times New Roman" w:hAnsi="Times New Roman"/>
                <w:sz w:val="24"/>
                <w:szCs w:val="28"/>
              </w:rPr>
              <w:t>B</w:t>
            </w:r>
            <w:r w:rsidRPr="005201DC">
              <w:rPr>
                <w:rFonts w:ascii="Times New Roman" w:hAnsi="Times New Roman"/>
                <w:sz w:val="24"/>
                <w:szCs w:val="28"/>
              </w:rPr>
              <w:t xml:space="preserve">). </w:t>
            </w:r>
            <w:r w:rsidR="00046FEB">
              <w:rPr>
                <w:rFonts w:ascii="Times New Roman" w:hAnsi="Times New Roman"/>
                <w:sz w:val="24"/>
                <w:szCs w:val="28"/>
              </w:rPr>
              <w:t>B.C. West (</w:t>
            </w:r>
            <w:r w:rsidRPr="005201DC">
              <w:rPr>
                <w:rFonts w:ascii="Times New Roman" w:hAnsi="Times New Roman"/>
                <w:sz w:val="24"/>
                <w:szCs w:val="28"/>
              </w:rPr>
              <w:t>Vancouver Island</w:t>
            </w:r>
            <w:r w:rsidR="00046FEB">
              <w:rPr>
                <w:rFonts w:ascii="Times New Roman" w:hAnsi="Times New Roman"/>
                <w:sz w:val="24"/>
                <w:szCs w:val="28"/>
              </w:rPr>
              <w:t>)</w:t>
            </w:r>
            <w:r>
              <w:rPr>
                <w:rFonts w:ascii="Times New Roman" w:hAnsi="Times New Roman"/>
                <w:sz w:val="24"/>
                <w:szCs w:val="28"/>
              </w:rPr>
              <w:t xml:space="preserve"> and </w:t>
            </w:r>
            <w:r w:rsidRPr="005201DC">
              <w:rPr>
                <w:rFonts w:ascii="Times New Roman" w:hAnsi="Times New Roman"/>
                <w:sz w:val="24"/>
                <w:szCs w:val="28"/>
              </w:rPr>
              <w:t xml:space="preserve">Oregon </w:t>
            </w:r>
            <w:r>
              <w:rPr>
                <w:rFonts w:ascii="Times New Roman" w:hAnsi="Times New Roman"/>
                <w:sz w:val="24"/>
                <w:szCs w:val="28"/>
              </w:rPr>
              <w:t>West</w:t>
            </w:r>
            <w:r w:rsidRPr="005201DC">
              <w:rPr>
                <w:rFonts w:ascii="Times New Roman" w:hAnsi="Times New Roman"/>
                <w:sz w:val="24"/>
                <w:szCs w:val="28"/>
              </w:rPr>
              <w:t xml:space="preserve"> regions contained the greatest </w:t>
            </w:r>
            <w:r>
              <w:rPr>
                <w:rFonts w:ascii="Times New Roman" w:hAnsi="Times New Roman"/>
                <w:sz w:val="24"/>
                <w:szCs w:val="28"/>
              </w:rPr>
              <w:t xml:space="preserve">tree volume response and stand </w:t>
            </w:r>
            <w:r w:rsidRPr="005201DC">
              <w:rPr>
                <w:rFonts w:ascii="Times New Roman" w:hAnsi="Times New Roman"/>
                <w:sz w:val="24"/>
                <w:szCs w:val="28"/>
              </w:rPr>
              <w:t>volume growth response</w:t>
            </w:r>
            <w:r>
              <w:rPr>
                <w:rFonts w:ascii="Times New Roman" w:hAnsi="Times New Roman"/>
                <w:sz w:val="24"/>
                <w:szCs w:val="28"/>
              </w:rPr>
              <w:t xml:space="preserve"> at four years</w:t>
            </w:r>
            <w:r w:rsidRPr="005201DC">
              <w:rPr>
                <w:rFonts w:ascii="Times New Roman" w:hAnsi="Times New Roman"/>
                <w:sz w:val="24"/>
                <w:szCs w:val="28"/>
              </w:rPr>
              <w:t xml:space="preserve">. </w:t>
            </w:r>
            <w:r>
              <w:rPr>
                <w:rFonts w:ascii="Times New Roman" w:hAnsi="Times New Roman"/>
                <w:sz w:val="24"/>
                <w:szCs w:val="28"/>
              </w:rPr>
              <w:t>The lowest response per tree and per acre was found in the B</w:t>
            </w:r>
            <w:r w:rsidR="00046FEB">
              <w:rPr>
                <w:rFonts w:ascii="Times New Roman" w:hAnsi="Times New Roman"/>
                <w:sz w:val="24"/>
                <w:szCs w:val="28"/>
              </w:rPr>
              <w:t>.C. East (Mainland) region.</w:t>
            </w:r>
          </w:p>
          <w:p w14:paraId="0263934D" w14:textId="1159F81B" w:rsidR="00A37879" w:rsidRPr="00711317" w:rsidRDefault="00CD3413" w:rsidP="00711317">
            <w:pPr>
              <w:pStyle w:val="ListParagraph"/>
              <w:numPr>
                <w:ilvl w:val="0"/>
                <w:numId w:val="2"/>
              </w:numPr>
              <w:spacing w:line="240" w:lineRule="auto"/>
              <w:ind w:left="378"/>
              <w:rPr>
                <w:rFonts w:ascii="Times New Roman" w:hAnsi="Times New Roman"/>
                <w:sz w:val="24"/>
                <w:szCs w:val="24"/>
              </w:rPr>
            </w:pPr>
            <w:r w:rsidRPr="00BE6F3F">
              <w:rPr>
                <w:rFonts w:ascii="Times New Roman" w:hAnsi="Times New Roman" w:cs="Times New Roman"/>
                <w:sz w:val="24"/>
                <w:szCs w:val="24"/>
              </w:rPr>
              <w:t>The best predictor of volume response per tree in the Late-</w:t>
            </w:r>
            <w:r>
              <w:rPr>
                <w:rFonts w:ascii="Times New Roman" w:hAnsi="Times New Roman" w:cs="Times New Roman"/>
                <w:sz w:val="24"/>
                <w:szCs w:val="24"/>
              </w:rPr>
              <w:t>R</w:t>
            </w:r>
            <w:r w:rsidRPr="00BE6F3F">
              <w:rPr>
                <w:rFonts w:ascii="Times New Roman" w:hAnsi="Times New Roman" w:cs="Times New Roman"/>
                <w:sz w:val="24"/>
                <w:szCs w:val="24"/>
              </w:rPr>
              <w:t>otation study was low PRS NO</w:t>
            </w:r>
            <w:r w:rsidRPr="00BE6F3F">
              <w:rPr>
                <w:rFonts w:ascii="Times New Roman" w:hAnsi="Times New Roman" w:cs="Times New Roman"/>
                <w:sz w:val="24"/>
                <w:szCs w:val="24"/>
                <w:vertAlign w:val="subscript"/>
              </w:rPr>
              <w:t>3</w:t>
            </w:r>
            <w:r w:rsidRPr="00BE6F3F">
              <w:rPr>
                <w:rFonts w:ascii="Times New Roman" w:hAnsi="Times New Roman" w:cs="Times New Roman"/>
                <w:sz w:val="24"/>
                <w:szCs w:val="24"/>
              </w:rPr>
              <w:t xml:space="preserve"> </w:t>
            </w:r>
            <w:r w:rsidR="00046FEB">
              <w:rPr>
                <w:rFonts w:ascii="Times New Roman" w:hAnsi="Times New Roman" w:cs="Times New Roman"/>
                <w:sz w:val="24"/>
                <w:szCs w:val="24"/>
              </w:rPr>
              <w:t>supply rate</w:t>
            </w:r>
            <w:r w:rsidRPr="00BE6F3F">
              <w:rPr>
                <w:rFonts w:ascii="Times New Roman" w:hAnsi="Times New Roman" w:cs="Times New Roman"/>
                <w:sz w:val="24"/>
                <w:szCs w:val="24"/>
              </w:rPr>
              <w:t xml:space="preserve"> (&lt;50 mg/10cm</w:t>
            </w:r>
            <w:r w:rsidRPr="00BE6F3F">
              <w:rPr>
                <w:rFonts w:ascii="Times New Roman" w:hAnsi="Times New Roman" w:cs="Times New Roman"/>
                <w:sz w:val="24"/>
                <w:szCs w:val="24"/>
                <w:vertAlign w:val="superscript"/>
              </w:rPr>
              <w:t>2</w:t>
            </w:r>
            <w:r w:rsidRPr="00BE6F3F">
              <w:rPr>
                <w:rFonts w:ascii="Times New Roman" w:hAnsi="Times New Roman" w:cs="Times New Roman"/>
                <w:sz w:val="24"/>
                <w:szCs w:val="24"/>
              </w:rPr>
              <w:t xml:space="preserve">/12 </w:t>
            </w:r>
            <w:r w:rsidRPr="005201DC">
              <w:rPr>
                <w:rFonts w:ascii="Times New Roman" w:hAnsi="Times New Roman" w:cs="Times New Roman"/>
                <w:sz w:val="24"/>
                <w:szCs w:val="24"/>
              </w:rPr>
              <w:t xml:space="preserve">weeks) (Figure </w:t>
            </w:r>
            <w:r w:rsidR="00986A85">
              <w:rPr>
                <w:rFonts w:ascii="Times New Roman" w:hAnsi="Times New Roman" w:cs="Times New Roman"/>
                <w:sz w:val="24"/>
                <w:szCs w:val="24"/>
              </w:rPr>
              <w:t>3</w:t>
            </w:r>
            <w:r w:rsidRPr="005201DC">
              <w:rPr>
                <w:rFonts w:ascii="Times New Roman" w:hAnsi="Times New Roman" w:cs="Times New Roman"/>
                <w:sz w:val="24"/>
                <w:szCs w:val="24"/>
              </w:rPr>
              <w:t xml:space="preserve">).  </w:t>
            </w:r>
            <w:r w:rsidR="00046FEB">
              <w:rPr>
                <w:rFonts w:ascii="Times New Roman" w:hAnsi="Times New Roman" w:cs="Times New Roman"/>
                <w:sz w:val="24"/>
                <w:szCs w:val="24"/>
              </w:rPr>
              <w:t>72% of</w:t>
            </w:r>
            <w:r w:rsidRPr="005201DC">
              <w:rPr>
                <w:rFonts w:ascii="Times New Roman" w:hAnsi="Times New Roman" w:cs="Times New Roman"/>
                <w:sz w:val="24"/>
                <w:szCs w:val="24"/>
              </w:rPr>
              <w:t xml:space="preserve"> installations with low PRS</w:t>
            </w:r>
            <w:r w:rsidRPr="005201DC">
              <w:rPr>
                <w:rFonts w:ascii="Times New Roman" w:hAnsi="Times New Roman"/>
                <w:sz w:val="24"/>
                <w:szCs w:val="24"/>
              </w:rPr>
              <w:t xml:space="preserve"> NO</w:t>
            </w:r>
            <w:r w:rsidRPr="005201DC">
              <w:rPr>
                <w:rFonts w:ascii="Times New Roman" w:hAnsi="Times New Roman"/>
                <w:sz w:val="24"/>
                <w:szCs w:val="24"/>
                <w:vertAlign w:val="subscript"/>
              </w:rPr>
              <w:t>3</w:t>
            </w:r>
            <w:r w:rsidRPr="005201DC">
              <w:rPr>
                <w:rFonts w:ascii="Times New Roman" w:hAnsi="Times New Roman"/>
                <w:sz w:val="24"/>
                <w:szCs w:val="24"/>
              </w:rPr>
              <w:t xml:space="preserve"> </w:t>
            </w:r>
            <w:r w:rsidR="00046FEB">
              <w:rPr>
                <w:rFonts w:ascii="Times New Roman" w:hAnsi="Times New Roman"/>
                <w:sz w:val="24"/>
                <w:szCs w:val="24"/>
              </w:rPr>
              <w:t>supply rate</w:t>
            </w:r>
            <w:r w:rsidRPr="005201DC">
              <w:rPr>
                <w:rFonts w:ascii="Times New Roman" w:hAnsi="Times New Roman"/>
                <w:sz w:val="24"/>
                <w:szCs w:val="24"/>
              </w:rPr>
              <w:t xml:space="preserve"> responded well in fertilizer volume response per tree. Installations that contained low NO</w:t>
            </w:r>
            <w:r w:rsidRPr="005201DC">
              <w:rPr>
                <w:rFonts w:ascii="Times New Roman" w:hAnsi="Times New Roman"/>
                <w:sz w:val="24"/>
                <w:szCs w:val="24"/>
                <w:vertAlign w:val="subscript"/>
              </w:rPr>
              <w:t>3</w:t>
            </w:r>
            <w:r w:rsidRPr="005201DC">
              <w:rPr>
                <w:rFonts w:ascii="Times New Roman" w:hAnsi="Times New Roman"/>
                <w:sz w:val="24"/>
                <w:szCs w:val="24"/>
              </w:rPr>
              <w:t xml:space="preserve"> adsorption and received no measurable fertilizer response (</w:t>
            </w:r>
            <w:r w:rsidR="00046FEB">
              <w:rPr>
                <w:rFonts w:ascii="Times New Roman" w:hAnsi="Times New Roman"/>
                <w:sz w:val="24"/>
                <w:szCs w:val="24"/>
              </w:rPr>
              <w:t>5/18</w:t>
            </w:r>
            <w:r w:rsidRPr="005201DC">
              <w:rPr>
                <w:rFonts w:ascii="Times New Roman" w:hAnsi="Times New Roman"/>
                <w:sz w:val="24"/>
                <w:szCs w:val="24"/>
              </w:rPr>
              <w:t>) either were limited in other nutrients or had adequate adsorption of NH</w:t>
            </w:r>
            <w:r w:rsidRPr="005201DC">
              <w:rPr>
                <w:rFonts w:ascii="Times New Roman" w:hAnsi="Times New Roman"/>
                <w:sz w:val="24"/>
                <w:szCs w:val="24"/>
                <w:vertAlign w:val="subscript"/>
              </w:rPr>
              <w:t>4</w:t>
            </w:r>
            <w:r w:rsidRPr="005201DC">
              <w:rPr>
                <w:rFonts w:ascii="Times New Roman" w:hAnsi="Times New Roman"/>
                <w:sz w:val="24"/>
                <w:szCs w:val="24"/>
              </w:rPr>
              <w:t xml:space="preserve">.  </w:t>
            </w:r>
          </w:p>
        </w:tc>
      </w:tr>
      <w:tr w:rsidR="00A37879" w14:paraId="7677715D"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1EFA0712" w14:textId="77777777" w:rsidR="00A37879" w:rsidRDefault="00000000">
            <w:pPr>
              <w:rPr>
                <w:rFonts w:ascii="Times New Roman" w:hAnsi="Times New Roman"/>
                <w:szCs w:val="24"/>
              </w:rPr>
            </w:pPr>
            <w:r>
              <w:rPr>
                <w:rFonts w:ascii="Times New Roman" w:hAnsi="Times New Roman"/>
                <w:b/>
                <w:szCs w:val="24"/>
              </w:rPr>
              <w:lastRenderedPageBreak/>
              <w:t xml:space="preserve">DELIVERABLES:  </w:t>
            </w:r>
            <w:r>
              <w:rPr>
                <w:rFonts w:ascii="Times New Roman" w:hAnsi="Times New Roman"/>
                <w:szCs w:val="24"/>
              </w:rPr>
              <w:t xml:space="preserve"> </w:t>
            </w:r>
          </w:p>
          <w:p w14:paraId="78EE0ADD" w14:textId="77777777" w:rsidR="00A37879" w:rsidRDefault="00A37879">
            <w:pPr>
              <w:rPr>
                <w:rFonts w:ascii="Times New Roman" w:hAnsi="Times New Roman"/>
                <w:szCs w:val="24"/>
              </w:rPr>
            </w:pPr>
          </w:p>
          <w:p w14:paraId="5F23AB82" w14:textId="26188E39" w:rsidR="00A37879" w:rsidRDefault="00AB7B51">
            <w:pPr>
              <w:rPr>
                <w:rFonts w:ascii="Times New Roman" w:hAnsi="Times New Roman"/>
                <w:szCs w:val="24"/>
              </w:rPr>
            </w:pPr>
            <w:r>
              <w:rPr>
                <w:rFonts w:ascii="Times New Roman" w:hAnsi="Times New Roman"/>
                <w:szCs w:val="24"/>
              </w:rPr>
              <w:t xml:space="preserve">Thirty-eight installations have been installed, measured, and treated. Pretreatment soils have been analyzed on all installations. </w:t>
            </w:r>
            <w:r>
              <w:rPr>
                <w:rFonts w:ascii="Times New Roman" w:hAnsi="Times New Roman"/>
                <w:szCs w:val="24"/>
              </w:rPr>
              <w:t>T</w:t>
            </w:r>
            <w:r>
              <w:rPr>
                <w:rFonts w:ascii="Times New Roman" w:hAnsi="Times New Roman"/>
                <w:szCs w:val="24"/>
              </w:rPr>
              <w:t>he relationship between PRS probe uptake and soil and site productivity and four-year fertilizer response on the Late-Rotation stands</w:t>
            </w:r>
            <w:r>
              <w:rPr>
                <w:rFonts w:ascii="Times New Roman" w:hAnsi="Times New Roman"/>
                <w:szCs w:val="24"/>
              </w:rPr>
              <w:t xml:space="preserve"> will be presented at the North American Forest Soil Conference and published in a peer-reviewed journal</w:t>
            </w:r>
            <w:r>
              <w:rPr>
                <w:rFonts w:ascii="Times New Roman" w:hAnsi="Times New Roman"/>
                <w:szCs w:val="24"/>
              </w:rPr>
              <w:t xml:space="preserve">. </w:t>
            </w:r>
            <w:r>
              <w:rPr>
                <w:rFonts w:ascii="Times New Roman" w:hAnsi="Times New Roman"/>
                <w:szCs w:val="24"/>
              </w:rPr>
              <w:t>W</w:t>
            </w:r>
            <w:r>
              <w:rPr>
                <w:rFonts w:ascii="Times New Roman" w:hAnsi="Times New Roman"/>
                <w:szCs w:val="24"/>
              </w:rPr>
              <w:t xml:space="preserve">e will compare site-specific response in the younger tree-based Paired-Tree and older plot-based Late-Rotation studies. At the end of this study, we will do an economic analysis of regional fertilization of </w:t>
            </w:r>
            <w:proofErr w:type="gramStart"/>
            <w:r>
              <w:rPr>
                <w:rFonts w:ascii="Times New Roman" w:hAnsi="Times New Roman"/>
                <w:szCs w:val="24"/>
              </w:rPr>
              <w:t>late-rotation</w:t>
            </w:r>
            <w:proofErr w:type="gramEnd"/>
            <w:r>
              <w:rPr>
                <w:rFonts w:ascii="Times New Roman" w:hAnsi="Times New Roman"/>
                <w:szCs w:val="24"/>
              </w:rPr>
              <w:t xml:space="preserve"> stands for inclusion in growth models.  We will prepare final reports on regional fertilizer response and effects of aboveground and belowground nutrition on late-rotation response.</w:t>
            </w:r>
          </w:p>
        </w:tc>
      </w:tr>
      <w:tr w:rsidR="00A37879" w14:paraId="781B7239"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5F450680" w14:textId="77777777" w:rsidR="00A37879" w:rsidRDefault="00000000">
            <w:pPr>
              <w:rPr>
                <w:rFonts w:ascii="Times New Roman" w:hAnsi="Times New Roman"/>
                <w:b/>
                <w:szCs w:val="24"/>
              </w:rPr>
            </w:pPr>
            <w:r>
              <w:rPr>
                <w:rFonts w:ascii="Times New Roman" w:hAnsi="Times New Roman"/>
                <w:b/>
                <w:szCs w:val="24"/>
              </w:rPr>
              <w:t xml:space="preserve">MEMBER COMPANY BENEFITS:  </w:t>
            </w:r>
          </w:p>
          <w:p w14:paraId="7617574E" w14:textId="77777777" w:rsidR="00A37879" w:rsidRDefault="00A37879">
            <w:pPr>
              <w:rPr>
                <w:rFonts w:ascii="Times New Roman" w:hAnsi="Times New Roman"/>
                <w:szCs w:val="24"/>
              </w:rPr>
            </w:pPr>
          </w:p>
          <w:p w14:paraId="787D405F" w14:textId="70B0DDD1" w:rsidR="00A37879" w:rsidRDefault="00085B23">
            <w:pPr>
              <w:rPr>
                <w:rFonts w:ascii="Times New Roman" w:hAnsi="Times New Roman"/>
                <w:szCs w:val="24"/>
              </w:rPr>
            </w:pPr>
            <w:r w:rsidRPr="00F60987">
              <w:rPr>
                <w:rFonts w:ascii="Times New Roman" w:hAnsi="Times New Roman"/>
                <w:szCs w:val="24"/>
              </w:rPr>
              <w:t>This study will provide a much-needed examination of the economics involved with late-rotation fertilization. We will provide an average area-based volume response that will be used in growth models in six distinct regions. This study will allow us to test the use of aboveground and belowground nutrient allocation and PRS probe uptake in predicting fertilizer response.</w:t>
            </w:r>
          </w:p>
        </w:tc>
      </w:tr>
    </w:tbl>
    <w:p w14:paraId="4FF9DC55" w14:textId="77777777" w:rsidR="00A37879" w:rsidRDefault="00A37879"/>
    <w:p w14:paraId="467BE637" w14:textId="77777777" w:rsidR="00986A85" w:rsidRDefault="00986A85" w:rsidP="00986A85">
      <w:r>
        <w:rPr>
          <w:noProof/>
        </w:rPr>
        <w:lastRenderedPageBreak/>
        <w:drawing>
          <wp:inline distT="0" distB="0" distL="0" distR="0" wp14:anchorId="7D103E10" wp14:editId="7329DB61">
            <wp:extent cx="5753100" cy="2720340"/>
            <wp:effectExtent l="0" t="0" r="0" b="3810"/>
            <wp:docPr id="267763998" name="Chart 1">
              <a:extLst xmlns:a="http://schemas.openxmlformats.org/drawingml/2006/main">
                <a:ext uri="{FF2B5EF4-FFF2-40B4-BE49-F238E27FC236}">
                  <a16:creationId xmlns:a16="http://schemas.microsoft.com/office/drawing/2014/main" id="{2E36A150-26B0-4CE8-A654-31680CBBFC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3BA406" w14:textId="5BCACC9F" w:rsidR="00986A85" w:rsidRDefault="00986A85" w:rsidP="00986A85">
      <w:r>
        <w:t xml:space="preserve">Figure </w:t>
      </w:r>
      <w:r>
        <w:t>1</w:t>
      </w:r>
      <w:r>
        <w:t>. Relationship between fertilizer volume response per tree and volume response per acre in all trees and only living trees at four years.</w:t>
      </w:r>
    </w:p>
    <w:p w14:paraId="1C42B73A" w14:textId="77777777" w:rsidR="00986A85" w:rsidRDefault="00986A85"/>
    <w:p w14:paraId="4627C1AA" w14:textId="77777777" w:rsidR="00986A85" w:rsidRDefault="00986A85"/>
    <w:p w14:paraId="73482C5E" w14:textId="1CE2C731" w:rsidR="00986A85" w:rsidRDefault="00986A85" w:rsidP="00986A85">
      <w:r>
        <w:t>A</w:t>
      </w:r>
      <w:r>
        <w:rPr>
          <w:noProof/>
        </w:rPr>
        <w:drawing>
          <wp:inline distT="0" distB="0" distL="0" distR="0" wp14:anchorId="61024C25" wp14:editId="49921182">
            <wp:extent cx="2907062" cy="3840480"/>
            <wp:effectExtent l="0" t="0" r="7620" b="7620"/>
            <wp:docPr id="1272131180" name="Picture 1" descr="A picture containing text, map, at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131180" name="Picture 1" descr="A picture containing text, map, atlas&#10;&#10;Description automatically generated"/>
                    <pic:cNvPicPr/>
                  </pic:nvPicPr>
                  <pic:blipFill rotWithShape="1">
                    <a:blip r:embed="rId11">
                      <a:extLst>
                        <a:ext uri="{28A0092B-C50C-407E-A947-70E740481C1C}">
                          <a14:useLocalDpi xmlns:a14="http://schemas.microsoft.com/office/drawing/2010/main" val="0"/>
                        </a:ext>
                      </a:extLst>
                    </a:blip>
                    <a:srcRect l="12319" t="10733" r="12077" b="12085"/>
                    <a:stretch/>
                  </pic:blipFill>
                  <pic:spPr bwMode="auto">
                    <a:xfrm>
                      <a:off x="0" y="0"/>
                      <a:ext cx="2907062" cy="3840480"/>
                    </a:xfrm>
                    <a:prstGeom prst="rect">
                      <a:avLst/>
                    </a:prstGeom>
                    <a:ln>
                      <a:noFill/>
                    </a:ln>
                    <a:extLst>
                      <a:ext uri="{53640926-AAD7-44D8-BBD7-CCE9431645EC}">
                        <a14:shadowObscured xmlns:a14="http://schemas.microsoft.com/office/drawing/2010/main"/>
                      </a:ext>
                    </a:extLst>
                  </pic:spPr>
                </pic:pic>
              </a:graphicData>
            </a:graphic>
          </wp:inline>
        </w:drawing>
      </w:r>
      <w:r>
        <w:t xml:space="preserve">     B</w:t>
      </w:r>
      <w:r>
        <w:rPr>
          <w:noProof/>
        </w:rPr>
        <w:drawing>
          <wp:inline distT="0" distB="0" distL="0" distR="0" wp14:anchorId="43006A48" wp14:editId="16CAC173">
            <wp:extent cx="2898913" cy="3840480"/>
            <wp:effectExtent l="0" t="0" r="0" b="7620"/>
            <wp:docPr id="1086349604" name="Picture 2"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349604" name="Picture 2" descr="A picture containing text, map&#10;&#10;Description automatically generated"/>
                    <pic:cNvPicPr/>
                  </pic:nvPicPr>
                  <pic:blipFill rotWithShape="1">
                    <a:blip r:embed="rId12">
                      <a:extLst>
                        <a:ext uri="{28A0092B-C50C-407E-A947-70E740481C1C}">
                          <a14:useLocalDpi xmlns:a14="http://schemas.microsoft.com/office/drawing/2010/main" val="0"/>
                        </a:ext>
                      </a:extLst>
                    </a:blip>
                    <a:srcRect l="12440" t="10825" r="12077" b="11900"/>
                    <a:stretch/>
                  </pic:blipFill>
                  <pic:spPr bwMode="auto">
                    <a:xfrm>
                      <a:off x="0" y="0"/>
                      <a:ext cx="2898913" cy="3840480"/>
                    </a:xfrm>
                    <a:prstGeom prst="rect">
                      <a:avLst/>
                    </a:prstGeom>
                    <a:ln>
                      <a:noFill/>
                    </a:ln>
                    <a:extLst>
                      <a:ext uri="{53640926-AAD7-44D8-BBD7-CCE9431645EC}">
                        <a14:shadowObscured xmlns:a14="http://schemas.microsoft.com/office/drawing/2010/main"/>
                      </a:ext>
                    </a:extLst>
                  </pic:spPr>
                </pic:pic>
              </a:graphicData>
            </a:graphic>
          </wp:inline>
        </w:drawing>
      </w:r>
    </w:p>
    <w:p w14:paraId="32DB0431" w14:textId="698798C5" w:rsidR="00986A85" w:rsidRDefault="00986A85" w:rsidP="00986A85">
      <w:r>
        <w:t xml:space="preserve">Figure </w:t>
      </w:r>
      <w:r>
        <w:t>2</w:t>
      </w:r>
      <w:r>
        <w:t>. A. Predicted response regions from four-year per tree volume response in the Paired-Tree Study compared to measured four-year tree volume response from the Late-Rotation Study.  B. Four-year plot response (ft</w:t>
      </w:r>
      <w:r w:rsidRPr="00E85A97">
        <w:rPr>
          <w:vertAlign w:val="superscript"/>
        </w:rPr>
        <w:t>3</w:t>
      </w:r>
      <w:r>
        <w:t>/ac/year) in each physiographic region of the coastal Pacific Northwest.</w:t>
      </w:r>
    </w:p>
    <w:p w14:paraId="173C90F6" w14:textId="77777777" w:rsidR="00986A85" w:rsidRDefault="00986A85" w:rsidP="00986A85"/>
    <w:p w14:paraId="0991F9F3" w14:textId="77777777" w:rsidR="00986A85" w:rsidRDefault="00986A85" w:rsidP="00986A85"/>
    <w:p w14:paraId="402E84D1" w14:textId="77777777" w:rsidR="00986A85" w:rsidRDefault="00986A85" w:rsidP="00986A85"/>
    <w:p w14:paraId="53AA1FD7" w14:textId="77777777" w:rsidR="00986A85" w:rsidRDefault="00986A85" w:rsidP="00986A85"/>
    <w:p w14:paraId="409453BF" w14:textId="77777777" w:rsidR="00986A85" w:rsidRDefault="00986A85" w:rsidP="00986A85"/>
    <w:p w14:paraId="155D9BA8" w14:textId="77777777" w:rsidR="00986A85" w:rsidRDefault="00986A85" w:rsidP="00986A85"/>
    <w:p w14:paraId="43294AA2" w14:textId="32277A86" w:rsidR="00986A85" w:rsidRDefault="00986A85" w:rsidP="00986A85">
      <w:r>
        <w:rPr>
          <w:noProof/>
        </w:rPr>
        <w:drawing>
          <wp:inline distT="0" distB="0" distL="0" distR="0" wp14:anchorId="2F942FA9" wp14:editId="304E4F86">
            <wp:extent cx="5753100" cy="2927985"/>
            <wp:effectExtent l="0" t="0" r="0" b="5715"/>
            <wp:docPr id="47695696" name="Chart 1">
              <a:extLst xmlns:a="http://schemas.openxmlformats.org/drawingml/2006/main">
                <a:ext uri="{FF2B5EF4-FFF2-40B4-BE49-F238E27FC236}">
                  <a16:creationId xmlns:a16="http://schemas.microsoft.com/office/drawing/2014/main" id="{0271A032-C47D-4E5E-9782-7338B13B15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20F116" w14:textId="233AB798" w:rsidR="00986A85" w:rsidRDefault="00986A85" w:rsidP="00986A85">
      <w:r>
        <w:t xml:space="preserve">Figure </w:t>
      </w:r>
      <w:r>
        <w:t>3</w:t>
      </w:r>
      <w:r>
        <w:t>. Relationship between Plant Root Simulator probe NO</w:t>
      </w:r>
      <w:r w:rsidRPr="00516EAE">
        <w:rPr>
          <w:vertAlign w:val="subscript"/>
        </w:rPr>
        <w:t>3</w:t>
      </w:r>
      <w:r>
        <w:t xml:space="preserve"> adsorption and fertilizer volume response per tree from 0-4 years.</w:t>
      </w:r>
    </w:p>
    <w:p w14:paraId="64CD905D" w14:textId="77777777" w:rsidR="00986A85" w:rsidRDefault="00986A85" w:rsidP="00986A85"/>
    <w:p w14:paraId="3D28228B" w14:textId="77777777" w:rsidR="00986A85" w:rsidRDefault="00986A85" w:rsidP="00986A85"/>
    <w:p w14:paraId="47C1F168" w14:textId="77777777" w:rsidR="00986A85" w:rsidRDefault="00986A85" w:rsidP="00986A85"/>
    <w:p w14:paraId="16625BFC" w14:textId="77777777" w:rsidR="00986A85" w:rsidRDefault="00986A85"/>
    <w:sectPr w:rsidR="00986A85">
      <w:headerReference w:type="default" r:id="rId14"/>
      <w:pgSz w:w="12240" w:h="15840"/>
      <w:pgMar w:top="1152" w:right="1152" w:bottom="1152" w:left="1152"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7A1C" w14:textId="77777777" w:rsidR="000C4E28" w:rsidRDefault="000C4E28">
      <w:r>
        <w:separator/>
      </w:r>
    </w:p>
  </w:endnote>
  <w:endnote w:type="continuationSeparator" w:id="0">
    <w:p w14:paraId="415CFC0A" w14:textId="77777777" w:rsidR="000C4E28" w:rsidRDefault="000C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Source Han Sans CN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D79AC" w14:textId="77777777" w:rsidR="000C4E28" w:rsidRDefault="000C4E28">
      <w:r>
        <w:separator/>
      </w:r>
    </w:p>
  </w:footnote>
  <w:footnote w:type="continuationSeparator" w:id="0">
    <w:p w14:paraId="7107A40F" w14:textId="77777777" w:rsidR="000C4E28" w:rsidRDefault="000C4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7C82" w14:textId="77777777" w:rsidR="00A37879" w:rsidRDefault="00000000">
    <w:pPr>
      <w:pStyle w:val="Header"/>
      <w:jc w:val="center"/>
      <w:rPr>
        <w:rFonts w:ascii="Arial" w:hAnsi="Arial" w:cs="Arial"/>
        <w:b/>
        <w:sz w:val="28"/>
        <w:szCs w:val="28"/>
      </w:rPr>
    </w:pPr>
    <w:r>
      <w:rPr>
        <w:noProof/>
      </w:rPr>
      <w:drawing>
        <wp:anchor distT="0" distB="0" distL="0" distR="0" simplePos="0" relativeHeight="2" behindDoc="1" locked="0" layoutInCell="1" allowOverlap="1" wp14:anchorId="5FEF7B14" wp14:editId="01519958">
          <wp:simplePos x="0" y="0"/>
          <wp:positionH relativeFrom="column">
            <wp:posOffset>5340350</wp:posOffset>
          </wp:positionH>
          <wp:positionV relativeFrom="paragraph">
            <wp:posOffset>-110490</wp:posOffset>
          </wp:positionV>
          <wp:extent cx="700405" cy="732155"/>
          <wp:effectExtent l="0" t="0" r="0" b="0"/>
          <wp:wrapNone/>
          <wp:docPr id="1" name="Sha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1"/>
                  <pic:cNvPicPr>
                    <a:picLocks noChangeAspect="1" noChangeArrowheads="1"/>
                  </pic:cNvPicPr>
                </pic:nvPicPr>
                <pic:blipFill>
                  <a:blip r:embed="rId1"/>
                  <a:stretch>
                    <a:fillRect/>
                  </a:stretch>
                </pic:blipFill>
                <pic:spPr bwMode="auto">
                  <a:xfrm>
                    <a:off x="0" y="0"/>
                    <a:ext cx="700405" cy="732155"/>
                  </a:xfrm>
                  <a:prstGeom prst="rect">
                    <a:avLst/>
                  </a:prstGeom>
                </pic:spPr>
              </pic:pic>
            </a:graphicData>
          </a:graphic>
        </wp:anchor>
      </w:drawing>
    </w:r>
    <w:r>
      <w:rPr>
        <w:noProof/>
      </w:rPr>
      <w:drawing>
        <wp:anchor distT="0" distB="0" distL="0" distR="0" simplePos="0" relativeHeight="3" behindDoc="1" locked="0" layoutInCell="1" allowOverlap="1" wp14:anchorId="327467BD" wp14:editId="36BC7BED">
          <wp:simplePos x="0" y="0"/>
          <wp:positionH relativeFrom="column">
            <wp:posOffset>186055</wp:posOffset>
          </wp:positionH>
          <wp:positionV relativeFrom="paragraph">
            <wp:posOffset>-207645</wp:posOffset>
          </wp:positionV>
          <wp:extent cx="692785" cy="68453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2"/>
                  <a:stretch>
                    <a:fillRect/>
                  </a:stretch>
                </pic:blipFill>
                <pic:spPr bwMode="auto">
                  <a:xfrm>
                    <a:off x="0" y="0"/>
                    <a:ext cx="692785" cy="684530"/>
                  </a:xfrm>
                  <a:prstGeom prst="rect">
                    <a:avLst/>
                  </a:prstGeom>
                </pic:spPr>
              </pic:pic>
            </a:graphicData>
          </a:graphic>
        </wp:anchor>
      </w:drawing>
    </w:r>
    <w:r>
      <w:rPr>
        <w:rFonts w:ascii="Arial" w:hAnsi="Arial" w:cs="Arial"/>
        <w:b/>
        <w:sz w:val="28"/>
        <w:szCs w:val="28"/>
      </w:rPr>
      <w:t>Center for Advanced Forestry Systems</w:t>
    </w:r>
  </w:p>
  <w:p w14:paraId="57AC833B" w14:textId="77777777" w:rsidR="00A37879" w:rsidRDefault="00000000">
    <w:pPr>
      <w:pStyle w:val="Header"/>
      <w:jc w:val="center"/>
    </w:pPr>
    <w:r>
      <w:rPr>
        <w:rFonts w:ascii="Arial" w:hAnsi="Arial" w:cs="Arial"/>
        <w:b/>
      </w:rPr>
      <w:t xml:space="preserve">2023 Annual IAB Meeting Project </w:t>
    </w:r>
    <w:r>
      <w:rPr>
        <w:rFonts w:ascii="Arial" w:hAnsi="Arial" w:cs="Arial"/>
        <w:b/>
        <w:u w:val="single"/>
      </w:rPr>
      <w:t>Progress Report</w:t>
    </w:r>
    <w:r>
      <w:rPr>
        <w:rFonts w:ascii="Arial" w:hAnsi="Arial" w:cs="Arial"/>
        <w:b/>
      </w:rPr>
      <w:t xml:space="preserve"> </w:t>
    </w:r>
  </w:p>
  <w:p w14:paraId="10335FE1" w14:textId="77777777" w:rsidR="00A37879" w:rsidRDefault="00A37879">
    <w:pPr>
      <w:pStyle w:val="Header"/>
      <w:jc w:val="center"/>
      <w:rPr>
        <w:rFonts w:ascii="Arial" w:hAnsi="Arial" w:cs="Arial"/>
        <w:b/>
      </w:rPr>
    </w:pPr>
  </w:p>
  <w:p w14:paraId="1DF1EE5E" w14:textId="77777777" w:rsidR="00A37879" w:rsidRDefault="00000000">
    <w:pPr>
      <w:tabs>
        <w:tab w:val="center" w:pos="4968"/>
      </w:tabs>
    </w:pPr>
    <w:r>
      <w:rPr>
        <w:rFonts w:ascii="Times New Roman" w:hAnsi="Times New Roman"/>
      </w:rPr>
      <w:t xml:space="preserve">Page </w:t>
    </w:r>
    <w:r>
      <w:fldChar w:fldCharType="begin"/>
    </w:r>
    <w:r>
      <w:instrText>PAGE</w:instrText>
    </w:r>
    <w:r>
      <w:fldChar w:fldCharType="separate"/>
    </w:r>
    <w:r>
      <w:t>1</w:t>
    </w:r>
    <w:r>
      <w:fldChar w:fldCharType="end"/>
    </w:r>
    <w:r>
      <w:rPr>
        <w:rFonts w:ascii="Times New Roman" w:hAnsi="Times New Roman"/>
      </w:rPr>
      <w:t xml:space="preserve"> of </w:t>
    </w:r>
    <w:r>
      <w:fldChar w:fldCharType="begin"/>
    </w:r>
    <w:r>
      <w:instrText>NUMPAGES</w:instrText>
    </w:r>
    <w:r>
      <w:fldChar w:fldCharType="separate"/>
    </w:r>
    <w:r>
      <w:t>1</w:t>
    </w:r>
    <w:r>
      <w:fldChar w:fldCharType="end"/>
    </w:r>
    <w:r>
      <w:rPr>
        <w:rFonts w:ascii="Times New Roman"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437B2"/>
    <w:multiLevelType w:val="hybridMultilevel"/>
    <w:tmpl w:val="CABE538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75D8214C"/>
    <w:multiLevelType w:val="hybridMultilevel"/>
    <w:tmpl w:val="2954DA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604387711">
    <w:abstractNumId w:val="1"/>
  </w:num>
  <w:num w:numId="2" w16cid:durableId="36256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79"/>
    <w:rsid w:val="00046FEB"/>
    <w:rsid w:val="00085B23"/>
    <w:rsid w:val="000C4E28"/>
    <w:rsid w:val="001B5A26"/>
    <w:rsid w:val="002345D1"/>
    <w:rsid w:val="00711317"/>
    <w:rsid w:val="00837A38"/>
    <w:rsid w:val="00986A85"/>
    <w:rsid w:val="00A37879"/>
    <w:rsid w:val="00AB7B51"/>
    <w:rsid w:val="00BD71EE"/>
    <w:rsid w:val="00CD341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04B9"/>
  <w15:docId w15:val="{C9CB1A46-8EDE-4120-A1F0-DC22B4FE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E8F"/>
    <w:rPr>
      <w:rFonts w:ascii="Times" w:hAnsi="Times"/>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sz w:val="20"/>
    </w:rPr>
  </w:style>
  <w:style w:type="paragraph" w:styleId="Heading3">
    <w:name w:val="heading 3"/>
    <w:basedOn w:val="Normal"/>
    <w:next w:val="Normal"/>
    <w:qFormat/>
    <w:pPr>
      <w:keepNext/>
      <w:spacing w:after="120"/>
      <w:outlineLvl w:val="2"/>
    </w:pPr>
    <w:rPr>
      <w:b/>
      <w:sz w:val="20"/>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i/>
    </w:rPr>
  </w:style>
  <w:style w:type="paragraph" w:styleId="Heading7">
    <w:name w:val="heading 7"/>
    <w:basedOn w:val="Normal"/>
    <w:next w:val="Normal"/>
    <w:qFormat/>
    <w:pPr>
      <w:keepNext/>
      <w:ind w:left="3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styleId="FollowedHyperlink">
    <w:name w:val="FollowedHyperlink"/>
    <w:qFormat/>
    <w:rPr>
      <w:color w:val="800080"/>
      <w:u w:val="single"/>
    </w:rPr>
  </w:style>
  <w:style w:type="character" w:customStyle="1" w:styleId="BalloonTextChar">
    <w:name w:val="Balloon Text Char"/>
    <w:basedOn w:val="DefaultParagraphFont"/>
    <w:link w:val="BalloonText"/>
    <w:semiHidden/>
    <w:qFormat/>
    <w:rsid w:val="000919EF"/>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next w:val="Normal"/>
    <w:qFormat/>
    <w:rPr>
      <w:b/>
    </w:rPr>
  </w:style>
  <w:style w:type="paragraph" w:customStyle="1" w:styleId="Index">
    <w:name w:val="Index"/>
    <w:basedOn w:val="Normal"/>
    <w:qFormat/>
    <w:pPr>
      <w:suppressLineNumbers/>
    </w:pPr>
    <w:rPr>
      <w:rFonts w:cs="Lohit Devanagari"/>
    </w:rPr>
  </w:style>
  <w:style w:type="paragraph" w:styleId="BodyTextIndent">
    <w:name w:val="Body Text Indent"/>
    <w:basedOn w:val="Normal"/>
    <w:pPr>
      <w:ind w:left="360"/>
    </w:pPr>
  </w:style>
  <w:style w:type="paragraph" w:styleId="BodyTextIndent2">
    <w:name w:val="Body Text Indent 2"/>
    <w:basedOn w:val="Normal"/>
    <w:qFormat/>
    <w:pPr>
      <w:ind w:left="720"/>
    </w:pPr>
  </w:style>
  <w:style w:type="paragraph" w:customStyle="1" w:styleId="HeaderandFooter">
    <w:name w:val="Header and Footer"/>
    <w:basedOn w:val="Normal"/>
    <w:qFormat/>
  </w:style>
  <w:style w:type="paragraph" w:styleId="Header">
    <w:name w:val="header"/>
    <w:basedOn w:val="Normal"/>
    <w:rsid w:val="00642DE9"/>
    <w:pPr>
      <w:tabs>
        <w:tab w:val="center" w:pos="4320"/>
        <w:tab w:val="right" w:pos="8640"/>
      </w:tabs>
    </w:pPr>
  </w:style>
  <w:style w:type="paragraph" w:styleId="Footer">
    <w:name w:val="footer"/>
    <w:basedOn w:val="Normal"/>
    <w:rsid w:val="00642DE9"/>
    <w:pPr>
      <w:tabs>
        <w:tab w:val="center" w:pos="4320"/>
        <w:tab w:val="right" w:pos="8640"/>
      </w:tabs>
    </w:pPr>
  </w:style>
  <w:style w:type="paragraph" w:styleId="BalloonText">
    <w:name w:val="Balloon Text"/>
    <w:basedOn w:val="Normal"/>
    <w:link w:val="BalloonTextChar"/>
    <w:semiHidden/>
    <w:unhideWhenUsed/>
    <w:qFormat/>
    <w:rsid w:val="000919EF"/>
    <w:rPr>
      <w:rFonts w:ascii="Segoe UI" w:hAnsi="Segoe UI" w:cs="Segoe UI"/>
      <w:sz w:val="18"/>
      <w:szCs w:val="18"/>
    </w:rPr>
  </w:style>
  <w:style w:type="paragraph" w:styleId="ListParagraph">
    <w:name w:val="List Paragraph"/>
    <w:basedOn w:val="Normal"/>
    <w:uiPriority w:val="34"/>
    <w:qFormat/>
    <w:rsid w:val="00837A38"/>
    <w:pPr>
      <w:suppressAutoHyphens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cuments\Type%20VI\Laterotationdata_0609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cuments\Type%20VI\Laterotationdata_0609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447222222222222"/>
          <c:y val="5.2194543297746143E-2"/>
          <c:w val="0.69059726391016274"/>
          <c:h val="0.80448379895573552"/>
        </c:manualLayout>
      </c:layout>
      <c:scatterChart>
        <c:scatterStyle val="lineMarker"/>
        <c:varyColors val="0"/>
        <c:ser>
          <c:idx val="0"/>
          <c:order val="0"/>
          <c:tx>
            <c:v>All Trees</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21801706905842066"/>
                  <c:y val="0.1463302381319982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LaterotationdataAll!$HP$2:$HP$55</c:f>
              <c:numCache>
                <c:formatCode>0.0</c:formatCode>
                <c:ptCount val="54"/>
                <c:pt idx="0">
                  <c:v>61.767399665250608</c:v>
                </c:pt>
                <c:pt idx="1">
                  <c:v>2.0767644628349817</c:v>
                </c:pt>
                <c:pt idx="2">
                  <c:v>25.248953776969067</c:v>
                </c:pt>
                <c:pt idx="3">
                  <c:v>5.8353398038857058</c:v>
                </c:pt>
                <c:pt idx="4">
                  <c:v>29.374247721006334</c:v>
                </c:pt>
                <c:pt idx="5">
                  <c:v>6.4912084521488405</c:v>
                </c:pt>
                <c:pt idx="6">
                  <c:v>10.882832184828581</c:v>
                </c:pt>
                <c:pt idx="7">
                  <c:v>41.241805968935097</c:v>
                </c:pt>
                <c:pt idx="9">
                  <c:v>-31.024305434197689</c:v>
                </c:pt>
                <c:pt idx="10">
                  <c:v>17.809154579223467</c:v>
                </c:pt>
                <c:pt idx="11">
                  <c:v>-17.597591985943343</c:v>
                </c:pt>
                <c:pt idx="13">
                  <c:v>0.10090182217742476</c:v>
                </c:pt>
                <c:pt idx="14">
                  <c:v>30.162901002409491</c:v>
                </c:pt>
                <c:pt idx="15">
                  <c:v>32.236053335344785</c:v>
                </c:pt>
                <c:pt idx="16">
                  <c:v>-4.8166486549023242</c:v>
                </c:pt>
                <c:pt idx="17">
                  <c:v>58.877067656266746</c:v>
                </c:pt>
                <c:pt idx="18">
                  <c:v>38.002884569356155</c:v>
                </c:pt>
                <c:pt idx="20">
                  <c:v>-2.2685256974396157</c:v>
                </c:pt>
                <c:pt idx="22">
                  <c:v>31.402258352655199</c:v>
                </c:pt>
                <c:pt idx="23">
                  <c:v>-2.9880226752691437</c:v>
                </c:pt>
                <c:pt idx="24">
                  <c:v>10.023955786649603</c:v>
                </c:pt>
                <c:pt idx="25">
                  <c:v>20.769938559672514</c:v>
                </c:pt>
                <c:pt idx="26">
                  <c:v>1.2706634754512924</c:v>
                </c:pt>
                <c:pt idx="27">
                  <c:v>-6.5262670380330343</c:v>
                </c:pt>
                <c:pt idx="28">
                  <c:v>48.555439999573885</c:v>
                </c:pt>
                <c:pt idx="29">
                  <c:v>26.960988482282211</c:v>
                </c:pt>
                <c:pt idx="30">
                  <c:v>73.867206408211686</c:v>
                </c:pt>
                <c:pt idx="31">
                  <c:v>-2.4155092320159022</c:v>
                </c:pt>
                <c:pt idx="32">
                  <c:v>-23.057057162421334</c:v>
                </c:pt>
                <c:pt idx="33">
                  <c:v>-2.8050148409646765</c:v>
                </c:pt>
                <c:pt idx="34">
                  <c:v>8.3038325511678472</c:v>
                </c:pt>
                <c:pt idx="35">
                  <c:v>-9.5816848687979661</c:v>
                </c:pt>
                <c:pt idx="36">
                  <c:v>40.77750951500748</c:v>
                </c:pt>
                <c:pt idx="37">
                  <c:v>14.842347212676762</c:v>
                </c:pt>
              </c:numCache>
            </c:numRef>
          </c:xVal>
          <c:yVal>
            <c:numRef>
              <c:f>LaterotationdataAll!$IZ$2:$IZ$55</c:f>
              <c:numCache>
                <c:formatCode>0.0</c:formatCode>
                <c:ptCount val="54"/>
                <c:pt idx="0">
                  <c:v>66.074767675362025</c:v>
                </c:pt>
                <c:pt idx="1">
                  <c:v>56.457803788595641</c:v>
                </c:pt>
                <c:pt idx="2">
                  <c:v>17.202091958970641</c:v>
                </c:pt>
                <c:pt idx="3">
                  <c:v>57.934225534879232</c:v>
                </c:pt>
                <c:pt idx="4">
                  <c:v>28.076147311739849</c:v>
                </c:pt>
                <c:pt idx="5">
                  <c:v>47.823399601038545</c:v>
                </c:pt>
                <c:pt idx="6">
                  <c:v>-56.123856095412478</c:v>
                </c:pt>
                <c:pt idx="7">
                  <c:v>79.708058100154915</c:v>
                </c:pt>
                <c:pt idx="9">
                  <c:v>-85.309256140190527</c:v>
                </c:pt>
                <c:pt idx="10">
                  <c:v>-71.692061202640787</c:v>
                </c:pt>
                <c:pt idx="11">
                  <c:v>-28.980907256891442</c:v>
                </c:pt>
                <c:pt idx="13">
                  <c:v>68.535185105332104</c:v>
                </c:pt>
                <c:pt idx="14">
                  <c:v>158.05881239385241</c:v>
                </c:pt>
                <c:pt idx="15">
                  <c:v>47.201867652057388</c:v>
                </c:pt>
                <c:pt idx="16">
                  <c:v>116.36663122545941</c:v>
                </c:pt>
                <c:pt idx="17">
                  <c:v>128.32483090910395</c:v>
                </c:pt>
                <c:pt idx="18">
                  <c:v>45.964266640225446</c:v>
                </c:pt>
                <c:pt idx="20">
                  <c:v>84.373567955981684</c:v>
                </c:pt>
                <c:pt idx="22">
                  <c:v>108.97443102327685</c:v>
                </c:pt>
                <c:pt idx="23">
                  <c:v>-2.3830768251696099</c:v>
                </c:pt>
                <c:pt idx="24">
                  <c:v>-15.109185063698988</c:v>
                </c:pt>
                <c:pt idx="25">
                  <c:v>37.998994840979094</c:v>
                </c:pt>
                <c:pt idx="26">
                  <c:v>-26.653576529625322</c:v>
                </c:pt>
                <c:pt idx="27">
                  <c:v>-32.839838376711128</c:v>
                </c:pt>
                <c:pt idx="28">
                  <c:v>110.71110414275665</c:v>
                </c:pt>
                <c:pt idx="29">
                  <c:v>-5.2451252449606045</c:v>
                </c:pt>
                <c:pt idx="30">
                  <c:v>116.58744090813666</c:v>
                </c:pt>
                <c:pt idx="31">
                  <c:v>-44.8298314430549</c:v>
                </c:pt>
                <c:pt idx="32">
                  <c:v>-69.038547498148318</c:v>
                </c:pt>
                <c:pt idx="33">
                  <c:v>33.594305068234462</c:v>
                </c:pt>
                <c:pt idx="34">
                  <c:v>40.981381329246688</c:v>
                </c:pt>
                <c:pt idx="35">
                  <c:v>-22.685672604496236</c:v>
                </c:pt>
                <c:pt idx="36">
                  <c:v>52.147969262375867</c:v>
                </c:pt>
                <c:pt idx="37">
                  <c:v>-53.864287255137171</c:v>
                </c:pt>
              </c:numCache>
            </c:numRef>
          </c:yVal>
          <c:smooth val="0"/>
          <c:extLst>
            <c:ext xmlns:c16="http://schemas.microsoft.com/office/drawing/2014/chart" uri="{C3380CC4-5D6E-409C-BE32-E72D297353CC}">
              <c16:uniqueId val="{00000001-1AB9-450D-90E0-8C0E6874664D}"/>
            </c:ext>
          </c:extLst>
        </c:ser>
        <c:ser>
          <c:idx val="1"/>
          <c:order val="1"/>
          <c:tx>
            <c:v>Live Trees</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0.21801706905842066"/>
                  <c:y val="0.4812449914348942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LaterotationdataAll!$HP$2:$HP$39</c:f>
              <c:numCache>
                <c:formatCode>0.0</c:formatCode>
                <c:ptCount val="38"/>
                <c:pt idx="0">
                  <c:v>61.767399665250608</c:v>
                </c:pt>
                <c:pt idx="1">
                  <c:v>2.0767644628349817</c:v>
                </c:pt>
                <c:pt idx="2">
                  <c:v>25.248953776969067</c:v>
                </c:pt>
                <c:pt idx="3">
                  <c:v>5.8353398038857058</c:v>
                </c:pt>
                <c:pt idx="4">
                  <c:v>29.374247721006334</c:v>
                </c:pt>
                <c:pt idx="5">
                  <c:v>6.4912084521488405</c:v>
                </c:pt>
                <c:pt idx="6">
                  <c:v>10.882832184828581</c:v>
                </c:pt>
                <c:pt idx="7">
                  <c:v>41.241805968935097</c:v>
                </c:pt>
                <c:pt idx="9">
                  <c:v>-31.024305434197689</c:v>
                </c:pt>
                <c:pt idx="10">
                  <c:v>17.809154579223467</c:v>
                </c:pt>
                <c:pt idx="11">
                  <c:v>-17.597591985943343</c:v>
                </c:pt>
                <c:pt idx="13">
                  <c:v>0.10090182217742476</c:v>
                </c:pt>
                <c:pt idx="14">
                  <c:v>30.162901002409491</c:v>
                </c:pt>
                <c:pt idx="15">
                  <c:v>32.236053335344785</c:v>
                </c:pt>
                <c:pt idx="16">
                  <c:v>-4.8166486549023242</c:v>
                </c:pt>
                <c:pt idx="17">
                  <c:v>58.877067656266746</c:v>
                </c:pt>
                <c:pt idx="18">
                  <c:v>38.002884569356155</c:v>
                </c:pt>
                <c:pt idx="20">
                  <c:v>-2.2685256974396157</c:v>
                </c:pt>
                <c:pt idx="22">
                  <c:v>31.402258352655199</c:v>
                </c:pt>
                <c:pt idx="23">
                  <c:v>-2.9880226752691437</c:v>
                </c:pt>
                <c:pt idx="24">
                  <c:v>10.023955786649603</c:v>
                </c:pt>
                <c:pt idx="25">
                  <c:v>20.769938559672514</c:v>
                </c:pt>
                <c:pt idx="26">
                  <c:v>1.2706634754512924</c:v>
                </c:pt>
                <c:pt idx="27">
                  <c:v>-6.5262670380330343</c:v>
                </c:pt>
                <c:pt idx="28">
                  <c:v>48.555439999573885</c:v>
                </c:pt>
                <c:pt idx="29">
                  <c:v>26.960988482282211</c:v>
                </c:pt>
                <c:pt idx="30">
                  <c:v>73.867206408211686</c:v>
                </c:pt>
                <c:pt idx="31">
                  <c:v>-2.4155092320159022</c:v>
                </c:pt>
                <c:pt idx="32">
                  <c:v>-23.057057162421334</c:v>
                </c:pt>
                <c:pt idx="33">
                  <c:v>-2.8050148409646765</c:v>
                </c:pt>
                <c:pt idx="34">
                  <c:v>8.3038325511678472</c:v>
                </c:pt>
                <c:pt idx="35">
                  <c:v>-9.5816848687979661</c:v>
                </c:pt>
                <c:pt idx="36">
                  <c:v>40.77750951500748</c:v>
                </c:pt>
                <c:pt idx="37">
                  <c:v>14.842347212676762</c:v>
                </c:pt>
              </c:numCache>
            </c:numRef>
          </c:xVal>
          <c:yVal>
            <c:numRef>
              <c:f>LaterotationdataAll!$JA$2:$JA$39</c:f>
              <c:numCache>
                <c:formatCode>0.0</c:formatCode>
                <c:ptCount val="38"/>
                <c:pt idx="0">
                  <c:v>102.10916244046757</c:v>
                </c:pt>
                <c:pt idx="1">
                  <c:v>-1.7030207590158335</c:v>
                </c:pt>
                <c:pt idx="2">
                  <c:v>21.293775189702501</c:v>
                </c:pt>
                <c:pt idx="3">
                  <c:v>31.449602551927136</c:v>
                </c:pt>
                <c:pt idx="4">
                  <c:v>43.462138507189167</c:v>
                </c:pt>
                <c:pt idx="5">
                  <c:v>33.401998291587461</c:v>
                </c:pt>
                <c:pt idx="6">
                  <c:v>-2.1996726807870028</c:v>
                </c:pt>
                <c:pt idx="7">
                  <c:v>110.37688713472534</c:v>
                </c:pt>
                <c:pt idx="9">
                  <c:v>-82.14000441009658</c:v>
                </c:pt>
                <c:pt idx="10">
                  <c:v>22.238213826744179</c:v>
                </c:pt>
                <c:pt idx="11">
                  <c:v>-44.603318802934965</c:v>
                </c:pt>
                <c:pt idx="13">
                  <c:v>61.724575708727897</c:v>
                </c:pt>
                <c:pt idx="14">
                  <c:v>100.37260499880124</c:v>
                </c:pt>
                <c:pt idx="15">
                  <c:v>46.08999125370687</c:v>
                </c:pt>
                <c:pt idx="16">
                  <c:v>6.2230155898377726</c:v>
                </c:pt>
                <c:pt idx="17">
                  <c:v>102.66262483438733</c:v>
                </c:pt>
                <c:pt idx="18">
                  <c:v>38.740545008365217</c:v>
                </c:pt>
                <c:pt idx="20">
                  <c:v>51.124686028813244</c:v>
                </c:pt>
                <c:pt idx="22">
                  <c:v>89.566161307635639</c:v>
                </c:pt>
                <c:pt idx="23">
                  <c:v>1.663120652058069</c:v>
                </c:pt>
                <c:pt idx="24">
                  <c:v>-12.590466510538135</c:v>
                </c:pt>
                <c:pt idx="25">
                  <c:v>28.754378618851888</c:v>
                </c:pt>
                <c:pt idx="26">
                  <c:v>-6.0899124599021697</c:v>
                </c:pt>
                <c:pt idx="27">
                  <c:v>-32.839838376711128</c:v>
                </c:pt>
                <c:pt idx="28">
                  <c:v>91.55614284013879</c:v>
                </c:pt>
                <c:pt idx="29">
                  <c:v>-1.9956090117020153</c:v>
                </c:pt>
                <c:pt idx="30">
                  <c:v>116.086032503003</c:v>
                </c:pt>
                <c:pt idx="31">
                  <c:v>-10.274307088941441</c:v>
                </c:pt>
                <c:pt idx="32">
                  <c:v>-58.361498854375213</c:v>
                </c:pt>
                <c:pt idx="33">
                  <c:v>34.171276309673885</c:v>
                </c:pt>
                <c:pt idx="34">
                  <c:v>18.623482768671238</c:v>
                </c:pt>
                <c:pt idx="35">
                  <c:v>-6.6643643302038038</c:v>
                </c:pt>
                <c:pt idx="36">
                  <c:v>25.989921871376598</c:v>
                </c:pt>
                <c:pt idx="37">
                  <c:v>72.479520669333311</c:v>
                </c:pt>
              </c:numCache>
            </c:numRef>
          </c:yVal>
          <c:smooth val="0"/>
          <c:extLst>
            <c:ext xmlns:c16="http://schemas.microsoft.com/office/drawing/2014/chart" uri="{C3380CC4-5D6E-409C-BE32-E72D297353CC}">
              <c16:uniqueId val="{00000003-1AB9-450D-90E0-8C0E6874664D}"/>
            </c:ext>
          </c:extLst>
        </c:ser>
        <c:dLbls>
          <c:showLegendKey val="0"/>
          <c:showVal val="0"/>
          <c:showCatName val="0"/>
          <c:showSerName val="0"/>
          <c:showPercent val="0"/>
          <c:showBubbleSize val="0"/>
        </c:dLbls>
        <c:axId val="1132296440"/>
        <c:axId val="1132297424"/>
      </c:scatterChart>
      <c:valAx>
        <c:axId val="11322964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Fertilizer</a:t>
                </a:r>
                <a:r>
                  <a:rPr lang="en-US" baseline="0"/>
                  <a:t> Tree Volume Response (%)</a:t>
                </a:r>
                <a:endParaRPr lang="en-US"/>
              </a:p>
            </c:rich>
          </c:tx>
          <c:layout>
            <c:manualLayout>
              <c:xMode val="edge"/>
              <c:yMode val="edge"/>
              <c:x val="0.32878477690288715"/>
              <c:y val="0.8898930516247746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2297424"/>
        <c:crosses val="autoZero"/>
        <c:crossBetween val="midCat"/>
      </c:valAx>
      <c:valAx>
        <c:axId val="1132297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Fertilizer Plot Volume</a:t>
                </a:r>
                <a:r>
                  <a:rPr lang="en-US" baseline="0"/>
                  <a:t> Response (ft</a:t>
                </a:r>
                <a:r>
                  <a:rPr lang="en-US" baseline="30000"/>
                  <a:t>3</a:t>
                </a:r>
                <a:r>
                  <a:rPr lang="en-US" baseline="0"/>
                  <a:t>/ac/yr)</a:t>
                </a:r>
                <a:endParaRPr lang="en-US"/>
              </a:p>
            </c:rich>
          </c:tx>
          <c:layout>
            <c:manualLayout>
              <c:xMode val="edge"/>
              <c:yMode val="edge"/>
              <c:x val="3.4920634920634928E-2"/>
              <c:y val="0.1529958227052604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2296440"/>
        <c:crosses val="autoZero"/>
        <c:crossBetween val="midCat"/>
        <c:majorUnit val="50"/>
      </c:valAx>
      <c:spPr>
        <a:noFill/>
        <a:ln>
          <a:noFill/>
        </a:ln>
        <a:effectLst/>
      </c:spPr>
    </c:plotArea>
    <c:legend>
      <c:legendPos val="r"/>
      <c:legendEntry>
        <c:idx val="2"/>
        <c:delete val="1"/>
      </c:legendEntry>
      <c:legendEntry>
        <c:idx val="3"/>
        <c:delete val="1"/>
      </c:legendEntry>
      <c:layout>
        <c:manualLayout>
          <c:xMode val="edge"/>
          <c:yMode val="edge"/>
          <c:x val="0.89016058805649878"/>
          <c:y val="0.43989207231449012"/>
          <c:w val="8.7156657461505888E-2"/>
          <c:h val="0.269608945940580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LaterotationdataAll!$HP$1</c:f>
              <c:strCache>
                <c:ptCount val="1"/>
                <c:pt idx="0">
                  <c:v>FVOLR4</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og"/>
            <c:dispRSqr val="1"/>
            <c:dispEq val="0"/>
            <c:trendlineLbl>
              <c:layout>
                <c:manualLayout>
                  <c:x val="-3.9800664451827242E-2"/>
                  <c:y val="-0.1202374945850215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LaterotationdataAll!$CS$2:$CS$43</c:f>
              <c:numCache>
                <c:formatCode>General</c:formatCode>
                <c:ptCount val="42"/>
                <c:pt idx="0">
                  <c:v>1</c:v>
                </c:pt>
                <c:pt idx="1">
                  <c:v>181.7</c:v>
                </c:pt>
                <c:pt idx="2">
                  <c:v>18.239999999999998</c:v>
                </c:pt>
                <c:pt idx="3">
                  <c:v>76.739999999999995</c:v>
                </c:pt>
                <c:pt idx="4">
                  <c:v>15.46</c:v>
                </c:pt>
                <c:pt idx="5">
                  <c:v>190.52</c:v>
                </c:pt>
                <c:pt idx="6">
                  <c:v>8.1999999999999993</c:v>
                </c:pt>
                <c:pt idx="7">
                  <c:v>25.78</c:v>
                </c:pt>
                <c:pt idx="8">
                  <c:v>37.54</c:v>
                </c:pt>
                <c:pt idx="9">
                  <c:v>292.88</c:v>
                </c:pt>
                <c:pt idx="10">
                  <c:v>4.54</c:v>
                </c:pt>
                <c:pt idx="11">
                  <c:v>112.82</c:v>
                </c:pt>
                <c:pt idx="12">
                  <c:v>3.22</c:v>
                </c:pt>
                <c:pt idx="13">
                  <c:v>3.12</c:v>
                </c:pt>
                <c:pt idx="14">
                  <c:v>3.68</c:v>
                </c:pt>
                <c:pt idx="15">
                  <c:v>3.18</c:v>
                </c:pt>
                <c:pt idx="16">
                  <c:v>121.28</c:v>
                </c:pt>
                <c:pt idx="17">
                  <c:v>11.6</c:v>
                </c:pt>
                <c:pt idx="18">
                  <c:v>5.25</c:v>
                </c:pt>
                <c:pt idx="19">
                  <c:v>71.5</c:v>
                </c:pt>
                <c:pt idx="20">
                  <c:v>19.079999999999998</c:v>
                </c:pt>
                <c:pt idx="21">
                  <c:v>13.58</c:v>
                </c:pt>
                <c:pt idx="22">
                  <c:v>128.97999999999999</c:v>
                </c:pt>
                <c:pt idx="23">
                  <c:v>164.28</c:v>
                </c:pt>
                <c:pt idx="24">
                  <c:v>6.92</c:v>
                </c:pt>
                <c:pt idx="25">
                  <c:v>168.66</c:v>
                </c:pt>
                <c:pt idx="26">
                  <c:v>50.28</c:v>
                </c:pt>
                <c:pt idx="27">
                  <c:v>75.540000000000006</c:v>
                </c:pt>
                <c:pt idx="28">
                  <c:v>6.66</c:v>
                </c:pt>
                <c:pt idx="29">
                  <c:v>66.959999999999994</c:v>
                </c:pt>
                <c:pt idx="30" formatCode="0.0">
                  <c:v>1.06</c:v>
                </c:pt>
                <c:pt idx="31" formatCode="0.0">
                  <c:v>217.74</c:v>
                </c:pt>
                <c:pt idx="32" formatCode="0">
                  <c:v>453</c:v>
                </c:pt>
                <c:pt idx="33" formatCode="0">
                  <c:v>142</c:v>
                </c:pt>
                <c:pt idx="34" formatCode="0">
                  <c:v>18</c:v>
                </c:pt>
                <c:pt idx="35" formatCode="0">
                  <c:v>2</c:v>
                </c:pt>
                <c:pt idx="36">
                  <c:v>11.32</c:v>
                </c:pt>
                <c:pt idx="37">
                  <c:v>67.55</c:v>
                </c:pt>
              </c:numCache>
            </c:numRef>
          </c:xVal>
          <c:yVal>
            <c:numRef>
              <c:f>LaterotationdataAll!$HP$2:$HP$43</c:f>
              <c:numCache>
                <c:formatCode>0.0</c:formatCode>
                <c:ptCount val="42"/>
                <c:pt idx="0">
                  <c:v>61.767399665250608</c:v>
                </c:pt>
                <c:pt idx="1">
                  <c:v>2.0767644628349817</c:v>
                </c:pt>
                <c:pt idx="2">
                  <c:v>25.248953776969067</c:v>
                </c:pt>
                <c:pt idx="3">
                  <c:v>5.8353398038857058</c:v>
                </c:pt>
                <c:pt idx="4">
                  <c:v>29.374247721006334</c:v>
                </c:pt>
                <c:pt idx="5">
                  <c:v>6.4912084521488405</c:v>
                </c:pt>
                <c:pt idx="6">
                  <c:v>10.882832184828581</c:v>
                </c:pt>
                <c:pt idx="7">
                  <c:v>41.241805968935097</c:v>
                </c:pt>
                <c:pt idx="9">
                  <c:v>-31.024305434197689</c:v>
                </c:pt>
                <c:pt idx="10">
                  <c:v>17.809154579223467</c:v>
                </c:pt>
                <c:pt idx="11">
                  <c:v>-17.597591985943343</c:v>
                </c:pt>
                <c:pt idx="13">
                  <c:v>0.10090182217742476</c:v>
                </c:pt>
                <c:pt idx="14">
                  <c:v>30.162901002409491</c:v>
                </c:pt>
                <c:pt idx="15">
                  <c:v>32.236053335344785</c:v>
                </c:pt>
                <c:pt idx="16">
                  <c:v>-4.8166486549023242</c:v>
                </c:pt>
                <c:pt idx="17">
                  <c:v>58.877067656266746</c:v>
                </c:pt>
                <c:pt idx="18">
                  <c:v>38.002884569356155</c:v>
                </c:pt>
                <c:pt idx="20">
                  <c:v>-2.2685256974396157</c:v>
                </c:pt>
                <c:pt idx="22">
                  <c:v>31.402258352655199</c:v>
                </c:pt>
                <c:pt idx="23">
                  <c:v>-2.9880226752691437</c:v>
                </c:pt>
                <c:pt idx="24">
                  <c:v>10.023955786649603</c:v>
                </c:pt>
                <c:pt idx="25">
                  <c:v>20.769938559672514</c:v>
                </c:pt>
                <c:pt idx="26">
                  <c:v>1.2706634754512924</c:v>
                </c:pt>
                <c:pt idx="27">
                  <c:v>-6.5262670380330343</c:v>
                </c:pt>
                <c:pt idx="28">
                  <c:v>48.555439999573885</c:v>
                </c:pt>
                <c:pt idx="29">
                  <c:v>26.960988482282211</c:v>
                </c:pt>
                <c:pt idx="30">
                  <c:v>73.867206408211686</c:v>
                </c:pt>
                <c:pt idx="31">
                  <c:v>-2.4155092320159022</c:v>
                </c:pt>
                <c:pt idx="32">
                  <c:v>-23.057057162421334</c:v>
                </c:pt>
                <c:pt idx="33">
                  <c:v>-2.8050148409646765</c:v>
                </c:pt>
                <c:pt idx="34">
                  <c:v>8.3038325511678472</c:v>
                </c:pt>
                <c:pt idx="35">
                  <c:v>-9.5816848687979661</c:v>
                </c:pt>
                <c:pt idx="36">
                  <c:v>40.77750951500748</c:v>
                </c:pt>
                <c:pt idx="37">
                  <c:v>14.842347212676762</c:v>
                </c:pt>
              </c:numCache>
            </c:numRef>
          </c:yVal>
          <c:smooth val="0"/>
          <c:extLst>
            <c:ext xmlns:c16="http://schemas.microsoft.com/office/drawing/2014/chart" uri="{C3380CC4-5D6E-409C-BE32-E72D297353CC}">
              <c16:uniqueId val="{0000002B-92DA-4041-821D-CF56375BAC17}"/>
            </c:ext>
          </c:extLst>
        </c:ser>
        <c:dLbls>
          <c:showLegendKey val="0"/>
          <c:showVal val="0"/>
          <c:showCatName val="0"/>
          <c:showSerName val="0"/>
          <c:showPercent val="0"/>
          <c:showBubbleSize val="0"/>
        </c:dLbls>
        <c:axId val="588206080"/>
        <c:axId val="588205096"/>
      </c:scatterChart>
      <c:valAx>
        <c:axId val="588206080"/>
        <c:scaling>
          <c:orientation val="minMax"/>
          <c:max val="3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PRS NO</a:t>
                </a:r>
                <a:r>
                  <a:rPr lang="en-US" baseline="-25000"/>
                  <a:t>3</a:t>
                </a:r>
                <a:r>
                  <a:rPr lang="en-US"/>
                  <a:t> Supply</a:t>
                </a:r>
                <a:r>
                  <a:rPr lang="en-US" baseline="0"/>
                  <a:t> Rate</a:t>
                </a:r>
                <a:r>
                  <a:rPr lang="en-US"/>
                  <a:t> (</a:t>
                </a:r>
                <a:r>
                  <a:rPr lang="en-US">
                    <a:latin typeface="Symbol" panose="05050102010706020507" pitchFamily="18" charset="2"/>
                  </a:rPr>
                  <a:t>m</a:t>
                </a:r>
                <a:r>
                  <a:rPr lang="en-US"/>
                  <a:t>g/10cm</a:t>
                </a:r>
                <a:r>
                  <a:rPr lang="en-US" baseline="30000"/>
                  <a:t>2</a:t>
                </a:r>
                <a:r>
                  <a:rPr lang="en-US"/>
                  <a:t>/length)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8205096"/>
        <c:crosses val="autoZero"/>
        <c:crossBetween val="midCat"/>
      </c:valAx>
      <c:valAx>
        <c:axId val="588205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Fertilizer Volume Response per Tree</a:t>
                </a:r>
                <a:r>
                  <a:rPr lang="en-US" baseline="0"/>
                  <a:t> (%) </a:t>
                </a:r>
              </a:p>
              <a:p>
                <a:pPr>
                  <a:defRPr/>
                </a:pPr>
                <a:r>
                  <a:rPr lang="en-US" baseline="0"/>
                  <a:t>(0-4 years)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820608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2dc32f-c033-4463-a12f-5b4389aea59a" xsi:nil="true"/>
    <lcf76f155ced4ddcb4097134ff3c332f xmlns="e81c0660-944a-420e-a7bb-2989aa19f4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264BAEF8630545AA0BF6DCB85BD78B" ma:contentTypeVersion="15" ma:contentTypeDescription="Create a new document." ma:contentTypeScope="" ma:versionID="f5cdfd7b8a389954a1ee929d058840d4">
  <xsd:schema xmlns:xsd="http://www.w3.org/2001/XMLSchema" xmlns:xs="http://www.w3.org/2001/XMLSchema" xmlns:p="http://schemas.microsoft.com/office/2006/metadata/properties" xmlns:ns2="e81c0660-944a-420e-a7bb-2989aa19f41e" xmlns:ns3="d22dc32f-c033-4463-a12f-5b4389aea59a" targetNamespace="http://schemas.microsoft.com/office/2006/metadata/properties" ma:root="true" ma:fieldsID="88cf3c65772ecd1a5b48ba599fcef5e1" ns2:_="" ns3:_="">
    <xsd:import namespace="e81c0660-944a-420e-a7bb-2989aa19f41e"/>
    <xsd:import namespace="d22dc32f-c033-4463-a12f-5b4389aea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c0660-944a-420e-a7bb-2989aa19f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dc32f-c033-4463-a12f-5b4389aea5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f946f9-e6e4-49df-87ca-5d4882cc488a}" ma:internalName="TaxCatchAll" ma:showField="CatchAllData" ma:web="d22dc32f-c033-4463-a12f-5b4389aea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BE337-BDD7-442D-B32D-A984D864CC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8C582F-0715-49FA-A595-F83C917D7B85}"/>
</file>

<file path=customXml/itemProps3.xml><?xml version="1.0" encoding="utf-8"?>
<ds:datastoreItem xmlns:ds="http://schemas.openxmlformats.org/officeDocument/2006/customXml" ds:itemID="{36C6E55B-BFA8-4910-A1D3-6080D1225F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EXECUTIVE SUMMARY</vt:lpstr>
    </vt:vector>
  </TitlesOfParts>
  <Company>NCSU</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CAFS</dc:creator>
  <dc:description/>
  <cp:lastModifiedBy>Kim Littke</cp:lastModifiedBy>
  <cp:revision>3</cp:revision>
  <cp:lastPrinted>2015-03-19T14:14:00Z</cp:lastPrinted>
  <dcterms:created xsi:type="dcterms:W3CDTF">2023-06-09T18:52:00Z</dcterms:created>
  <dcterms:modified xsi:type="dcterms:W3CDTF">2023-06-09T18:59:00Z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NCSU</vt:lpwstr>
  </property>
  <property fmtid="{D5CDD505-2E9C-101B-9397-08002B2CF9AE}" pid="4" name="ContentTypeId">
    <vt:lpwstr>0x0101000C264BAEF8630545AA0BF6DCB85BD78B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